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4CDD">
      <w:pPr>
        <w:pStyle w:val="12"/>
        <w:snapToGrid w:val="0"/>
        <w:jc w:val="center"/>
        <w:rPr>
          <w:rFonts w:ascii="Times New Roman" w:hAnsi="Times New Roman" w:eastAsia="黑体" w:cs="Times New Roman"/>
          <w:b/>
          <w:bCs/>
          <w:spacing w:val="80"/>
          <w:sz w:val="48"/>
          <w:szCs w:val="48"/>
        </w:rPr>
      </w:pPr>
    </w:p>
    <w:p w14:paraId="247FBF82">
      <w:pPr>
        <w:rPr>
          <w:sz w:val="44"/>
          <w:szCs w:val="44"/>
        </w:rPr>
      </w:pPr>
    </w:p>
    <w:p w14:paraId="53E2B691">
      <w:pPr>
        <w:spacing w:line="680" w:lineRule="exact"/>
        <w:jc w:val="center"/>
        <w:rPr>
          <w:sz w:val="44"/>
          <w:szCs w:val="44"/>
        </w:rPr>
      </w:pPr>
      <w:r>
        <w:rPr>
          <w:sz w:val="52"/>
          <w:szCs w:val="52"/>
        </w:rPr>
        <w:t xml:space="preserve"> </w:t>
      </w:r>
    </w:p>
    <w:p w14:paraId="3B82B86F">
      <w:pPr>
        <w:pStyle w:val="39"/>
        <w:rPr>
          <w:rFonts w:ascii="Times New Roman" w:cs="Times New Roman"/>
          <w:sz w:val="44"/>
          <w:szCs w:val="44"/>
        </w:rPr>
      </w:pPr>
    </w:p>
    <w:p w14:paraId="20EA5969">
      <w:pPr>
        <w:pStyle w:val="39"/>
        <w:rPr>
          <w:rFonts w:ascii="Times New Roman" w:cs="Times New Roman"/>
          <w:sz w:val="44"/>
          <w:szCs w:val="44"/>
        </w:rPr>
      </w:pPr>
    </w:p>
    <w:p w14:paraId="5974D7E0">
      <w:pPr>
        <w:spacing w:line="680" w:lineRule="exact"/>
        <w:jc w:val="center"/>
        <w:rPr>
          <w:sz w:val="52"/>
          <w:szCs w:val="52"/>
        </w:rPr>
      </w:pPr>
      <w:r>
        <w:rPr>
          <w:rFonts w:hint="eastAsia"/>
          <w:sz w:val="52"/>
          <w:szCs w:val="52"/>
        </w:rPr>
        <w:t>调试期污水站实验特殊药剂采购</w:t>
      </w:r>
    </w:p>
    <w:p w14:paraId="728A9832">
      <w:pPr>
        <w:spacing w:line="680" w:lineRule="exact"/>
        <w:jc w:val="center"/>
        <w:rPr>
          <w:sz w:val="44"/>
          <w:szCs w:val="44"/>
        </w:rPr>
      </w:pPr>
    </w:p>
    <w:p w14:paraId="49FD9E9D">
      <w:pPr>
        <w:spacing w:line="680" w:lineRule="exact"/>
        <w:jc w:val="center"/>
        <w:rPr>
          <w:sz w:val="44"/>
          <w:szCs w:val="44"/>
        </w:rPr>
      </w:pPr>
    </w:p>
    <w:p w14:paraId="21BACEF8">
      <w:pPr>
        <w:spacing w:line="680" w:lineRule="exact"/>
        <w:jc w:val="center"/>
        <w:rPr>
          <w:sz w:val="44"/>
          <w:szCs w:val="44"/>
        </w:rPr>
      </w:pPr>
      <w:r>
        <w:rPr>
          <w:sz w:val="44"/>
          <w:szCs w:val="44"/>
        </w:rPr>
        <w:t>询价采购文件</w:t>
      </w:r>
    </w:p>
    <w:p w14:paraId="16A2C315">
      <w:pPr>
        <w:spacing w:line="680" w:lineRule="exact"/>
        <w:jc w:val="center"/>
        <w:rPr>
          <w:sz w:val="44"/>
          <w:szCs w:val="44"/>
        </w:rPr>
      </w:pPr>
    </w:p>
    <w:p w14:paraId="7D22BEF0">
      <w:pPr>
        <w:spacing w:line="680" w:lineRule="exact"/>
        <w:jc w:val="center"/>
        <w:rPr>
          <w:sz w:val="32"/>
          <w:szCs w:val="32"/>
        </w:rPr>
      </w:pPr>
      <w:r>
        <w:rPr>
          <w:sz w:val="32"/>
          <w:szCs w:val="32"/>
        </w:rPr>
        <w:t>项目编号：</w:t>
      </w:r>
      <w:r>
        <w:rPr>
          <w:rFonts w:hint="eastAsia"/>
          <w:sz w:val="32"/>
          <w:szCs w:val="32"/>
        </w:rPr>
        <w:t>恒卓采询（2026）00</w:t>
      </w:r>
      <w:r>
        <w:rPr>
          <w:rFonts w:hint="eastAsia"/>
          <w:sz w:val="32"/>
          <w:szCs w:val="32"/>
          <w:lang w:val="en-US" w:eastAsia="zh-CN"/>
        </w:rPr>
        <w:t>8</w:t>
      </w:r>
      <w:r>
        <w:rPr>
          <w:rFonts w:hint="eastAsia"/>
          <w:sz w:val="32"/>
          <w:szCs w:val="32"/>
        </w:rPr>
        <w:t xml:space="preserve">号 </w:t>
      </w:r>
    </w:p>
    <w:p w14:paraId="3903F3E0">
      <w:pPr>
        <w:spacing w:line="680" w:lineRule="exact"/>
        <w:jc w:val="center"/>
        <w:rPr>
          <w:sz w:val="44"/>
          <w:szCs w:val="44"/>
        </w:rPr>
      </w:pPr>
    </w:p>
    <w:p w14:paraId="67AFA76C">
      <w:pPr>
        <w:spacing w:line="680" w:lineRule="exact"/>
        <w:jc w:val="center"/>
        <w:rPr>
          <w:sz w:val="44"/>
          <w:szCs w:val="44"/>
        </w:rPr>
      </w:pPr>
    </w:p>
    <w:p w14:paraId="58B6CC46">
      <w:pPr>
        <w:spacing w:line="680" w:lineRule="exact"/>
        <w:rPr>
          <w:sz w:val="44"/>
          <w:szCs w:val="44"/>
        </w:rPr>
      </w:pPr>
    </w:p>
    <w:p w14:paraId="77C784CD">
      <w:pPr>
        <w:spacing w:line="480" w:lineRule="exact"/>
        <w:ind w:firstLine="750" w:firstLineChars="250"/>
        <w:rPr>
          <w:sz w:val="30"/>
          <w:szCs w:val="30"/>
        </w:rPr>
      </w:pPr>
    </w:p>
    <w:p w14:paraId="3C3E917A">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475FC977">
      <w:pPr>
        <w:spacing w:line="480" w:lineRule="exact"/>
        <w:rPr>
          <w:sz w:val="36"/>
          <w:szCs w:val="36"/>
        </w:rPr>
      </w:pPr>
    </w:p>
    <w:p w14:paraId="40C0B365">
      <w:pPr>
        <w:spacing w:line="480" w:lineRule="exact"/>
        <w:rPr>
          <w:sz w:val="36"/>
          <w:szCs w:val="36"/>
        </w:rPr>
      </w:pPr>
      <w:r>
        <w:rPr>
          <w:sz w:val="36"/>
          <w:szCs w:val="36"/>
        </w:rPr>
        <w:t>采购代理机构：</w:t>
      </w:r>
      <w:r>
        <w:rPr>
          <w:rFonts w:hint="eastAsia"/>
          <w:sz w:val="36"/>
          <w:szCs w:val="36"/>
        </w:rPr>
        <w:t>江苏恒卓工程管理咨询有限公司</w:t>
      </w:r>
    </w:p>
    <w:p w14:paraId="3BAF0960">
      <w:pPr>
        <w:jc w:val="center"/>
        <w:rPr>
          <w:sz w:val="36"/>
          <w:szCs w:val="36"/>
        </w:rPr>
      </w:pPr>
    </w:p>
    <w:p w14:paraId="45077FFE">
      <w:pPr>
        <w:jc w:val="center"/>
        <w:rPr>
          <w:sz w:val="44"/>
          <w:szCs w:val="44"/>
        </w:rPr>
      </w:pPr>
    </w:p>
    <w:p w14:paraId="4BC5FE20">
      <w:pPr>
        <w:jc w:val="center"/>
        <w:rPr>
          <w:w w:val="90"/>
          <w:sz w:val="36"/>
          <w:szCs w:val="36"/>
        </w:rPr>
      </w:pPr>
      <w:r>
        <w:rPr>
          <w:w w:val="90"/>
          <w:sz w:val="36"/>
          <w:szCs w:val="36"/>
        </w:rPr>
        <w:t>二〇二</w:t>
      </w:r>
      <w:r>
        <w:rPr>
          <w:rFonts w:hint="eastAsia"/>
          <w:w w:val="90"/>
          <w:sz w:val="36"/>
          <w:szCs w:val="36"/>
        </w:rPr>
        <w:t>六</w:t>
      </w:r>
      <w:r>
        <w:rPr>
          <w:w w:val="90"/>
          <w:sz w:val="36"/>
          <w:szCs w:val="36"/>
        </w:rPr>
        <w:t>年</w:t>
      </w:r>
      <w:r>
        <w:rPr>
          <w:rFonts w:hint="eastAsia"/>
          <w:w w:val="90"/>
          <w:sz w:val="36"/>
          <w:szCs w:val="36"/>
          <w:lang w:val="en-US" w:eastAsia="zh-CN"/>
        </w:rPr>
        <w:t>二</w:t>
      </w:r>
      <w:r>
        <w:rPr>
          <w:w w:val="90"/>
          <w:sz w:val="36"/>
          <w:szCs w:val="36"/>
        </w:rPr>
        <w:t>月</w:t>
      </w:r>
    </w:p>
    <w:p w14:paraId="05B2FD13">
      <w:pPr>
        <w:jc w:val="center"/>
        <w:rPr>
          <w:b/>
          <w:bCs/>
          <w:sz w:val="24"/>
        </w:rPr>
      </w:pPr>
    </w:p>
    <w:p w14:paraId="3EA38783">
      <w:pPr>
        <w:spacing w:line="360" w:lineRule="auto"/>
        <w:jc w:val="center"/>
        <w:rPr>
          <w:b/>
          <w:bCs/>
          <w:sz w:val="32"/>
          <w:szCs w:val="32"/>
        </w:rPr>
      </w:pPr>
    </w:p>
    <w:p w14:paraId="68C36C93">
      <w:pPr>
        <w:spacing w:line="360" w:lineRule="auto"/>
        <w:jc w:val="center"/>
        <w:rPr>
          <w:sz w:val="32"/>
          <w:szCs w:val="32"/>
        </w:rPr>
      </w:pPr>
      <w:r>
        <w:rPr>
          <w:rFonts w:hint="eastAsia"/>
          <w:b/>
          <w:bCs/>
          <w:sz w:val="32"/>
          <w:szCs w:val="32"/>
        </w:rPr>
        <w:t>调试期污水站实验特殊药剂采购</w:t>
      </w:r>
      <w:r>
        <w:rPr>
          <w:b/>
          <w:bCs/>
          <w:sz w:val="32"/>
          <w:szCs w:val="32"/>
        </w:rPr>
        <w:t>询价公告</w:t>
      </w:r>
    </w:p>
    <w:p w14:paraId="2C291F91">
      <w:pPr>
        <w:spacing w:line="460" w:lineRule="exact"/>
        <w:ind w:firstLine="420" w:firstLineChars="200"/>
        <w:rPr>
          <w:rFonts w:hint="eastAsia" w:ascii="宋体" w:hAnsi="宋体" w:cs="宋体"/>
        </w:rPr>
      </w:pPr>
      <w:r>
        <w:rPr>
          <w:rFonts w:hint="eastAsia" w:ascii="宋体" w:hAnsi="宋体" w:cs="宋体"/>
        </w:rPr>
        <w:t>受江苏中吴常高新环保产业有限公司的委托，对调试期污水站实验特殊药剂采购进行询价采购。特邀请符合条件的供应商参加。</w:t>
      </w:r>
    </w:p>
    <w:p w14:paraId="40ACC130">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一、采购项目内容及技术要求</w:t>
      </w:r>
    </w:p>
    <w:p w14:paraId="3E7C1B2A">
      <w:pPr>
        <w:spacing w:line="460" w:lineRule="exact"/>
        <w:ind w:firstLine="420" w:firstLineChars="200"/>
        <w:rPr>
          <w:rFonts w:hint="eastAsia" w:ascii="宋体" w:hAnsi="宋体" w:cs="宋体"/>
        </w:rPr>
      </w:pPr>
      <w:r>
        <w:rPr>
          <w:rFonts w:hint="eastAsia" w:ascii="宋体" w:hAnsi="宋体" w:cs="宋体"/>
        </w:rPr>
        <w:t>（一）项目编号：恒卓采询（2026）00</w:t>
      </w:r>
      <w:r>
        <w:rPr>
          <w:rFonts w:hint="eastAsia" w:ascii="宋体" w:hAnsi="宋体" w:cs="宋体"/>
          <w:lang w:val="en-US" w:eastAsia="zh-CN"/>
        </w:rPr>
        <w:t>8</w:t>
      </w:r>
      <w:r>
        <w:rPr>
          <w:rFonts w:hint="eastAsia" w:ascii="宋体" w:hAnsi="宋体" w:cs="宋体"/>
        </w:rPr>
        <w:t xml:space="preserve">号 </w:t>
      </w:r>
    </w:p>
    <w:p w14:paraId="3A2AF419">
      <w:pPr>
        <w:spacing w:line="460" w:lineRule="exact"/>
        <w:ind w:firstLine="420" w:firstLineChars="200"/>
        <w:rPr>
          <w:rFonts w:hint="eastAsia" w:ascii="宋体" w:hAnsi="宋体" w:cs="宋体"/>
        </w:rPr>
      </w:pPr>
      <w:r>
        <w:rPr>
          <w:rFonts w:hint="eastAsia" w:ascii="宋体" w:hAnsi="宋体" w:cs="宋体"/>
        </w:rPr>
        <w:t>（二）项目名称：调试期污水站实验特殊药剂采购</w:t>
      </w:r>
    </w:p>
    <w:p w14:paraId="1CE334C2">
      <w:pPr>
        <w:spacing w:line="460" w:lineRule="exact"/>
        <w:ind w:firstLine="422" w:firstLineChars="200"/>
        <w:rPr>
          <w:rFonts w:hint="eastAsia" w:ascii="宋体" w:hAnsi="宋体" w:cs="宋体"/>
          <w:b/>
          <w:bCs/>
          <w:spacing w:val="2"/>
          <w:szCs w:val="21"/>
        </w:rPr>
      </w:pPr>
      <w:r>
        <w:rPr>
          <w:rFonts w:hint="eastAsia" w:ascii="宋体" w:hAnsi="宋体" w:cs="宋体"/>
          <w:b/>
          <w:bCs/>
        </w:rPr>
        <w:t>（三）采购预算/最高限价：55.89万元，</w:t>
      </w:r>
      <w:r>
        <w:rPr>
          <w:rFonts w:hint="eastAsia" w:ascii="宋体" w:hAnsi="宋体" w:cs="宋体"/>
          <w:b/>
          <w:bCs/>
          <w:spacing w:val="2"/>
          <w:szCs w:val="21"/>
        </w:rPr>
        <w:t>投标报价不得超过最高限价，否则作无效响应处理。</w:t>
      </w:r>
    </w:p>
    <w:p w14:paraId="536BA980">
      <w:pPr>
        <w:spacing w:line="460" w:lineRule="exact"/>
        <w:ind w:firstLine="420" w:firstLineChars="200"/>
        <w:rPr>
          <w:rFonts w:hint="eastAsia" w:ascii="宋体" w:hAnsi="宋体" w:cs="宋体"/>
        </w:rPr>
      </w:pPr>
      <w:r>
        <w:rPr>
          <w:rFonts w:hint="eastAsia" w:ascii="宋体" w:hAnsi="宋体" w:cs="宋体"/>
        </w:rPr>
        <w:t>（四）项目内容：为保障江苏中吴常高新表面处理中心污水处理中心稳定运行，满足污水处理工艺对核心药剂的实验性需求，确保出水水质达标，拟启动该中心6类药剂（分3种规格型号）的采购及实验</w:t>
      </w:r>
      <w:r>
        <w:rPr>
          <w:rFonts w:hint="eastAsia" w:ascii="宋体" w:hAnsi="宋体" w:cs="宋体"/>
          <w:lang w:eastAsia="zh-CN"/>
        </w:rPr>
        <w:t>，</w:t>
      </w:r>
      <w:r>
        <w:rPr>
          <w:rFonts w:hint="eastAsia" w:ascii="宋体" w:hAnsi="宋体" w:cs="宋体"/>
        </w:rPr>
        <w:t>具体详见采购清单及要求。</w:t>
      </w:r>
    </w:p>
    <w:p w14:paraId="64528816">
      <w:pPr>
        <w:spacing w:line="460" w:lineRule="exact"/>
        <w:ind w:firstLine="420" w:firstLineChars="200"/>
        <w:rPr>
          <w:rFonts w:hint="eastAsia" w:ascii="宋体" w:hAnsi="宋体" w:cs="宋体"/>
        </w:rPr>
      </w:pPr>
      <w:r>
        <w:rPr>
          <w:rFonts w:hint="eastAsia" w:ascii="宋体" w:hAnsi="宋体" w:cs="宋体"/>
        </w:rPr>
        <w:t>（五）服务期限：自合同签订之日起 4个月。</w:t>
      </w:r>
    </w:p>
    <w:p w14:paraId="4D3BA61C">
      <w:pPr>
        <w:spacing w:line="460" w:lineRule="exact"/>
        <w:ind w:firstLine="430" w:firstLineChars="200"/>
        <w:rPr>
          <w:rFonts w:hint="eastAsia" w:ascii="宋体" w:hAnsi="宋体" w:cs="宋体"/>
          <w:b/>
          <w:bCs/>
          <w:spacing w:val="2"/>
          <w:szCs w:val="21"/>
        </w:rPr>
      </w:pPr>
      <w:r>
        <w:rPr>
          <w:rFonts w:hint="eastAsia" w:ascii="宋体" w:hAnsi="宋体" w:cs="宋体"/>
          <w:b/>
          <w:bCs/>
          <w:spacing w:val="2"/>
          <w:szCs w:val="21"/>
        </w:rPr>
        <w:t>（六）本项目不接受联合体投标。</w:t>
      </w:r>
    </w:p>
    <w:p w14:paraId="04604C27">
      <w:pPr>
        <w:numPr>
          <w:ilvl w:val="0"/>
          <w:numId w:val="1"/>
        </w:numPr>
        <w:spacing w:line="460" w:lineRule="exact"/>
        <w:ind w:firstLine="420" w:firstLineChars="200"/>
        <w:jc w:val="left"/>
        <w:rPr>
          <w:rFonts w:hint="eastAsia" w:ascii="宋体" w:hAnsi="宋体" w:cs="宋体"/>
          <w:szCs w:val="21"/>
        </w:rPr>
      </w:pPr>
      <w:r>
        <w:rPr>
          <w:rFonts w:hint="eastAsia" w:ascii="宋体" w:hAnsi="宋体" w:cs="宋体"/>
          <w:szCs w:val="21"/>
        </w:rPr>
        <w:t xml:space="preserve">对供应商的基本要求： </w:t>
      </w:r>
    </w:p>
    <w:p w14:paraId="7D562EAF">
      <w:pPr>
        <w:spacing w:line="460" w:lineRule="exact"/>
        <w:ind w:firstLine="420" w:firstLineChars="200"/>
        <w:jc w:val="left"/>
        <w:rPr>
          <w:rFonts w:hint="eastAsia" w:ascii="宋体" w:hAnsi="宋体" w:cs="宋体"/>
          <w:szCs w:val="21"/>
        </w:rPr>
      </w:pPr>
      <w:r>
        <w:rPr>
          <w:rFonts w:hint="eastAsia" w:ascii="宋体" w:hAnsi="宋体" w:cs="宋体"/>
        </w:rPr>
        <w:t>（一）</w:t>
      </w:r>
      <w:r>
        <w:rPr>
          <w:rFonts w:hint="eastAsia" w:ascii="宋体" w:hAnsi="宋体" w:cs="宋体"/>
          <w:szCs w:val="21"/>
        </w:rPr>
        <w:t>具备《中华人民共和国政府采购法》第二十二条规定条件的法人；</w:t>
      </w:r>
    </w:p>
    <w:p w14:paraId="6E49EA74">
      <w:pPr>
        <w:spacing w:line="460" w:lineRule="exact"/>
        <w:ind w:firstLine="420" w:firstLineChars="200"/>
        <w:rPr>
          <w:rFonts w:hint="eastAsia" w:ascii="宋体" w:hAnsi="宋体" w:cs="宋体"/>
        </w:rPr>
      </w:pPr>
      <w:r>
        <w:rPr>
          <w:rFonts w:hint="eastAsia" w:ascii="宋体" w:hAnsi="宋体" w:cs="宋体"/>
        </w:rPr>
        <w:t xml:space="preserve">1. 具有独立承担民事责任的能力； </w:t>
      </w:r>
    </w:p>
    <w:p w14:paraId="24B46026">
      <w:pPr>
        <w:spacing w:line="460" w:lineRule="exact"/>
        <w:ind w:firstLine="420" w:firstLineChars="200"/>
        <w:rPr>
          <w:rFonts w:hint="eastAsia" w:ascii="宋体" w:hAnsi="宋体" w:cs="宋体"/>
        </w:rPr>
      </w:pPr>
      <w:r>
        <w:rPr>
          <w:rFonts w:hint="eastAsia" w:ascii="宋体" w:hAnsi="宋体" w:cs="宋体"/>
        </w:rPr>
        <w:t xml:space="preserve">2. 具有良好的商业信誉和健全的财务会计制度； </w:t>
      </w:r>
    </w:p>
    <w:p w14:paraId="36D95CF5">
      <w:pPr>
        <w:spacing w:line="460" w:lineRule="exact"/>
        <w:ind w:firstLine="420" w:firstLineChars="200"/>
        <w:rPr>
          <w:rFonts w:hint="eastAsia" w:ascii="宋体" w:hAnsi="宋体" w:cs="宋体"/>
        </w:rPr>
      </w:pPr>
      <w:r>
        <w:rPr>
          <w:rFonts w:hint="eastAsia" w:ascii="宋体" w:hAnsi="宋体" w:cs="宋体"/>
        </w:rPr>
        <w:t xml:space="preserve">3. 具有履行合同所必须的设备和专业技术能力； </w:t>
      </w:r>
    </w:p>
    <w:p w14:paraId="4BD003F6">
      <w:pPr>
        <w:spacing w:line="460" w:lineRule="exact"/>
        <w:ind w:firstLine="420" w:firstLineChars="200"/>
        <w:rPr>
          <w:rFonts w:hint="eastAsia" w:ascii="宋体" w:hAnsi="宋体" w:cs="宋体"/>
        </w:rPr>
      </w:pPr>
      <w:r>
        <w:rPr>
          <w:rFonts w:hint="eastAsia" w:ascii="宋体" w:hAnsi="宋体" w:cs="宋体"/>
        </w:rPr>
        <w:t xml:space="preserve">4. 有依法缴纳税收和社会保障资金的良好记录； </w:t>
      </w:r>
    </w:p>
    <w:p w14:paraId="0634CFDC">
      <w:pPr>
        <w:spacing w:line="460" w:lineRule="exact"/>
        <w:ind w:firstLine="420" w:firstLineChars="200"/>
        <w:rPr>
          <w:rFonts w:hint="eastAsia" w:ascii="宋体" w:hAnsi="宋体" w:cs="宋体"/>
        </w:rPr>
      </w:pPr>
      <w:r>
        <w:rPr>
          <w:rFonts w:hint="eastAsia" w:ascii="宋体" w:hAnsi="宋体" w:cs="宋体"/>
        </w:rPr>
        <w:t>5. 参加政府采购活动前三年内，在经营活动中没有重大违法记录；</w:t>
      </w:r>
    </w:p>
    <w:p w14:paraId="3316D615">
      <w:pPr>
        <w:spacing w:line="460" w:lineRule="exact"/>
        <w:ind w:firstLine="420" w:firstLineChars="200"/>
        <w:rPr>
          <w:rFonts w:hint="eastAsia" w:ascii="宋体" w:hAnsi="宋体" w:cs="宋体"/>
        </w:rPr>
      </w:pPr>
      <w:r>
        <w:rPr>
          <w:rFonts w:hint="eastAsia" w:ascii="宋体" w:hAnsi="宋体" w:cs="宋体"/>
        </w:rPr>
        <w:t>6. 法律、行政法规规定的其他条件</w:t>
      </w:r>
    </w:p>
    <w:p w14:paraId="0E1FAF16">
      <w:pPr>
        <w:spacing w:line="460" w:lineRule="exact"/>
        <w:ind w:firstLine="420" w:firstLineChars="200"/>
        <w:rPr>
          <w:rFonts w:hint="eastAsia"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708C8F18">
      <w:pPr>
        <w:spacing w:line="460" w:lineRule="exact"/>
        <w:ind w:firstLine="420" w:firstLineChars="200"/>
        <w:rPr>
          <w:rFonts w:hint="eastAsia" w:ascii="宋体" w:hAnsi="宋体" w:cs="宋体"/>
        </w:rPr>
      </w:pPr>
      <w:r>
        <w:rPr>
          <w:rFonts w:hint="eastAsia" w:ascii="宋体" w:hAnsi="宋体" w:cs="宋体"/>
        </w:rPr>
        <w:t>（三）具有营业执照副本；</w:t>
      </w:r>
    </w:p>
    <w:p w14:paraId="5B5A7D15">
      <w:pPr>
        <w:spacing w:line="460" w:lineRule="exact"/>
        <w:ind w:firstLine="420" w:firstLineChars="200"/>
        <w:rPr>
          <w:rFonts w:hint="eastAsia" w:ascii="宋体" w:hAnsi="宋体" w:cs="宋体"/>
        </w:rPr>
      </w:pPr>
      <w:r>
        <w:rPr>
          <w:rFonts w:hint="eastAsia" w:ascii="宋体" w:hAnsi="宋体" w:cs="宋体"/>
        </w:rPr>
        <w:t>（四）未被“信用中国”网站（www.creditchina.gov.cn）、中国政府采购网 (www.ccgp.gov.cn)列入失信被执行人、重大税收违法失信主体名单、政府采购严重失信行为记录名单。</w:t>
      </w:r>
    </w:p>
    <w:p w14:paraId="1348E8DA">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4A5AE9DE">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79C13183">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2.近3年（投标截止时间前推）具有同类污水处理药剂供应业绩（合同金额30万元及以上），需提供合同复印件加盖公章，时间以合同签订时间为准</w:t>
      </w:r>
      <w:r>
        <w:rPr>
          <w:rFonts w:hint="eastAsia" w:ascii="宋体" w:hAnsi="宋体" w:cs="宋体"/>
          <w:highlight w:val="none"/>
          <w:lang w:eastAsia="zh-CN"/>
        </w:rPr>
        <w:t>，</w:t>
      </w:r>
      <w:r>
        <w:rPr>
          <w:rFonts w:hint="eastAsia" w:ascii="宋体" w:hAnsi="宋体" w:cs="宋体"/>
          <w:highlight w:val="none"/>
        </w:rPr>
        <w:t>金额以合同所载为准</w:t>
      </w:r>
      <w:r>
        <w:rPr>
          <w:rFonts w:hint="eastAsia" w:ascii="宋体" w:hAnsi="宋体" w:cs="宋体"/>
          <w:highlight w:val="none"/>
          <w:lang w:eastAsia="zh-CN"/>
        </w:rPr>
        <w:t>；</w:t>
      </w:r>
    </w:p>
    <w:p w14:paraId="0DDE4521">
      <w:pPr>
        <w:spacing w:line="460" w:lineRule="exact"/>
        <w:ind w:firstLine="420" w:firstLineChars="200"/>
        <w:rPr>
          <w:rFonts w:hint="eastAsia" w:ascii="宋体" w:hAnsi="宋体" w:cs="宋体"/>
          <w:highlight w:val="none"/>
        </w:rPr>
      </w:pPr>
      <w:r>
        <w:rPr>
          <w:rFonts w:hint="eastAsia" w:ascii="宋体" w:hAnsi="宋体" w:cs="宋体"/>
          <w:highlight w:val="none"/>
        </w:rPr>
        <w:t xml:space="preserve">3. </w:t>
      </w:r>
      <w:r>
        <w:rPr>
          <w:rFonts w:hint="eastAsia" w:ascii="宋体" w:hAnsi="宋体" w:cs="宋体"/>
          <w:highlight w:val="none"/>
          <w:lang w:eastAsia="zh-CN"/>
        </w:rPr>
        <w:t>提供所有药剂的MSDS及合格证明复印件并加盖公章</w:t>
      </w:r>
      <w:r>
        <w:rPr>
          <w:rFonts w:hint="eastAsia" w:ascii="宋体" w:hAnsi="宋体" w:cs="宋体"/>
          <w:highlight w:val="none"/>
        </w:rPr>
        <w:t>。</w:t>
      </w:r>
    </w:p>
    <w:p w14:paraId="397D881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三、获取询价文件的时间和办法</w:t>
      </w:r>
    </w:p>
    <w:p w14:paraId="1FDA9EB1">
      <w:pPr>
        <w:spacing w:line="440" w:lineRule="exact"/>
        <w:ind w:firstLine="420" w:firstLineChars="200"/>
        <w:rPr>
          <w:rFonts w:hint="eastAsia" w:ascii="宋体" w:hAnsi="宋体" w:cs="宋体"/>
          <w:b/>
          <w:bCs/>
          <w:szCs w:val="21"/>
          <w:highlight w:val="none"/>
        </w:rPr>
      </w:pPr>
      <w:r>
        <w:rPr>
          <w:rFonts w:hint="eastAsia" w:ascii="宋体" w:hAnsi="宋体" w:cs="宋体"/>
          <w:highlight w:val="none"/>
        </w:rPr>
        <w:t>（一）</w:t>
      </w:r>
      <w:r>
        <w:rPr>
          <w:rFonts w:hint="eastAsia" w:ascii="宋体" w:hAnsi="宋体" w:cs="宋体"/>
          <w:szCs w:val="21"/>
          <w:highlight w:val="none"/>
        </w:rPr>
        <w:t>询价文件获取时间：</w:t>
      </w:r>
      <w:r>
        <w:rPr>
          <w:rFonts w:hint="eastAsia" w:ascii="宋体" w:hAnsi="宋体" w:cs="宋体"/>
          <w:b/>
          <w:bCs/>
          <w:szCs w:val="21"/>
          <w:highlight w:val="none"/>
        </w:rPr>
        <w:t>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04</w:t>
      </w:r>
      <w:r>
        <w:rPr>
          <w:rFonts w:hint="eastAsia" w:ascii="宋体" w:hAnsi="宋体" w:cs="宋体"/>
          <w:b/>
          <w:bCs/>
          <w:szCs w:val="21"/>
          <w:highlight w:val="none"/>
        </w:rPr>
        <w:t>日至2026年0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09</w:t>
      </w:r>
      <w:r>
        <w:rPr>
          <w:rFonts w:hint="eastAsia" w:ascii="宋体" w:hAnsi="宋体" w:cs="宋体"/>
          <w:b/>
          <w:bCs/>
          <w:szCs w:val="21"/>
          <w:highlight w:val="none"/>
        </w:rPr>
        <w:t>日，每天上午08：30至11：30，下午13：30至17：00（北京时间）</w:t>
      </w:r>
    </w:p>
    <w:p w14:paraId="2106B8F4">
      <w:pPr>
        <w:spacing w:line="440" w:lineRule="exact"/>
        <w:ind w:firstLine="420" w:firstLineChars="200"/>
        <w:jc w:val="left"/>
        <w:rPr>
          <w:rFonts w:hint="eastAsia" w:ascii="宋体" w:hAnsi="宋体" w:cs="宋体"/>
          <w:b/>
          <w:bCs/>
          <w:szCs w:val="21"/>
          <w:highlight w:val="none"/>
        </w:rPr>
      </w:pPr>
      <w:r>
        <w:rPr>
          <w:rFonts w:hint="eastAsia" w:ascii="宋体" w:hAnsi="宋体" w:cs="宋体"/>
          <w:highlight w:val="none"/>
        </w:rPr>
        <w:t>（二）</w:t>
      </w:r>
      <w:r>
        <w:rPr>
          <w:rFonts w:hint="eastAsia" w:ascii="宋体" w:hAnsi="宋体" w:cs="宋体"/>
          <w:b/>
          <w:bCs/>
          <w:szCs w:val="21"/>
          <w:highlight w:val="none"/>
        </w:rPr>
        <w:t>询价文件售价：人民币壹佰圆整</w:t>
      </w:r>
    </w:p>
    <w:p w14:paraId="19F23B84">
      <w:pPr>
        <w:spacing w:line="440" w:lineRule="exact"/>
        <w:ind w:firstLine="420" w:firstLineChars="200"/>
        <w:jc w:val="left"/>
        <w:rPr>
          <w:rFonts w:hint="eastAsia" w:ascii="宋体" w:hAnsi="宋体" w:cs="宋体"/>
          <w:b/>
          <w:bCs/>
          <w:szCs w:val="21"/>
          <w:highlight w:val="none"/>
        </w:rPr>
      </w:pPr>
      <w:r>
        <w:rPr>
          <w:rFonts w:hint="eastAsia" w:ascii="宋体" w:hAnsi="宋体" w:cs="宋体"/>
          <w:highlight w:val="none"/>
        </w:rPr>
        <w:t>（三）</w:t>
      </w:r>
      <w:r>
        <w:rPr>
          <w:rFonts w:hint="eastAsia" w:ascii="宋体" w:hAnsi="宋体" w:cs="宋体"/>
          <w:szCs w:val="21"/>
          <w:highlight w:val="none"/>
        </w:rPr>
        <w:t>获取询价文件办法：</w:t>
      </w:r>
    </w:p>
    <w:p w14:paraId="7CE1E661">
      <w:pPr>
        <w:pStyle w:val="21"/>
        <w:spacing w:before="0" w:beforeAutospacing="0" w:after="120" w:afterAutospacing="0" w:line="440" w:lineRule="exact"/>
        <w:ind w:firstLine="420" w:firstLineChars="200"/>
        <w:rPr>
          <w:rFonts w:hint="eastAsia"/>
          <w:sz w:val="21"/>
          <w:szCs w:val="21"/>
          <w:highlight w:val="none"/>
        </w:rPr>
      </w:pPr>
      <w:r>
        <w:rPr>
          <w:rFonts w:hint="eastAsia"/>
          <w:sz w:val="21"/>
          <w:szCs w:val="21"/>
          <w:highlight w:val="none"/>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0150169F">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2.现场报名或线上报名，报名时需提供以下报名资料：</w:t>
      </w:r>
    </w:p>
    <w:p w14:paraId="78807D2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（1）报名申请表（格式至“江苏恒卓工程管理咨询有限公司”官网办事指南自行下载）（原件）</w:t>
      </w:r>
    </w:p>
    <w:p w14:paraId="744DD4CC">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线上领购供应商须将以上报名资料原件扫描件（PDF）发送至邮箱994093050@qq.com，代理机构审核后将以邮件形式告知供应商缴纳报名费，供应商在“江苏恒卓工程管理咨询有限公司”官网自行下载询价文件。</w:t>
      </w:r>
    </w:p>
    <w:p w14:paraId="68E9921D">
      <w:pPr>
        <w:spacing w:line="440" w:lineRule="exact"/>
        <w:ind w:firstLine="420" w:firstLineChars="200"/>
        <w:rPr>
          <w:rFonts w:hint="eastAsia" w:ascii="宋体" w:hAnsi="宋体" w:cs="宋体"/>
          <w:szCs w:val="21"/>
          <w:highlight w:val="none"/>
        </w:rPr>
      </w:pPr>
      <w:r>
        <w:rPr>
          <w:rFonts w:hint="eastAsia" w:ascii="宋体" w:hAnsi="宋体" w:cs="宋体"/>
          <w:highlight w:val="none"/>
        </w:rPr>
        <w:t>（四）获取地点：江苏恒卓工程管理咨询有限公司综合办［常州市北塘河路8号恒生科技园44-2栋4F（一号大门往北一百米）］</w:t>
      </w:r>
    </w:p>
    <w:p w14:paraId="601E35D4">
      <w:pPr>
        <w:widowControl/>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四、其他补充事宜</w:t>
      </w:r>
    </w:p>
    <w:p w14:paraId="209C68C4">
      <w:pPr>
        <w:spacing w:line="460" w:lineRule="exact"/>
        <w:ind w:firstLine="422" w:firstLineChars="200"/>
        <w:rPr>
          <w:rFonts w:hint="eastAsia" w:ascii="宋体" w:hAnsi="宋体" w:cs="宋体"/>
          <w:szCs w:val="21"/>
          <w:highlight w:val="none"/>
        </w:rPr>
      </w:pPr>
      <w:r>
        <w:rPr>
          <w:rFonts w:hint="eastAsia" w:ascii="宋体" w:hAnsi="宋体" w:cs="宋体"/>
          <w:b/>
          <w:bCs/>
          <w:szCs w:val="21"/>
          <w:highlight w:val="none"/>
        </w:rPr>
        <w:t>（一）现场踏勘</w:t>
      </w:r>
      <w:r>
        <w:rPr>
          <w:rFonts w:hint="eastAsia" w:ascii="宋体" w:hAnsi="宋体" w:cs="宋体"/>
          <w:szCs w:val="21"/>
          <w:highlight w:val="none"/>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（二）投标保证金</w:t>
      </w:r>
    </w:p>
    <w:p w14:paraId="2172564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投标保证金数额：</w:t>
      </w:r>
      <w:r>
        <w:rPr>
          <w:rFonts w:hint="eastAsia" w:ascii="宋体" w:hAnsi="宋体" w:cs="宋体"/>
          <w:b/>
          <w:bCs/>
          <w:szCs w:val="21"/>
          <w:highlight w:val="none"/>
        </w:rPr>
        <w:t>人民币壹万元整</w:t>
      </w:r>
    </w:p>
    <w:p w14:paraId="2B1AF75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收款单位：江苏恒卓工程管理咨询有限公司</w:t>
      </w:r>
    </w:p>
    <w:p w14:paraId="07D7205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开户银行：江苏江南农村商业银行股份有限公司常州市青龙支行</w:t>
      </w:r>
    </w:p>
    <w:p w14:paraId="2C13C18B">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账号：89801116012010000004083</w:t>
      </w:r>
    </w:p>
    <w:p w14:paraId="513EE99F">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投标保证金到账截止日期：</w:t>
      </w:r>
      <w:r>
        <w:rPr>
          <w:rFonts w:hint="eastAsia" w:ascii="宋体" w:hAnsi="宋体" w:cs="宋体"/>
          <w:b/>
          <w:bCs/>
          <w:szCs w:val="21"/>
          <w:highlight w:val="none"/>
        </w:rPr>
        <w:t>2026年0</w:t>
      </w:r>
      <w:r>
        <w:rPr>
          <w:rFonts w:hint="eastAsia" w:ascii="宋体" w:hAnsi="宋体" w:cs="宋体"/>
          <w:b/>
          <w:bCs/>
          <w:szCs w:val="21"/>
          <w:highlight w:val="none"/>
          <w:lang w:val="en-US" w:eastAsia="zh-CN"/>
        </w:rPr>
        <w:t>2</w:t>
      </w:r>
      <w:r>
        <w:rPr>
          <w:rFonts w:hint="eastAsia" w:ascii="宋体" w:hAnsi="宋体" w:cs="宋体"/>
          <w:b/>
          <w:bCs/>
          <w:szCs w:val="21"/>
          <w:highlight w:val="none"/>
        </w:rPr>
        <w:t>月</w:t>
      </w:r>
      <w:r>
        <w:rPr>
          <w:rFonts w:hint="eastAsia" w:ascii="宋体" w:hAnsi="宋体" w:cs="宋体"/>
          <w:b/>
          <w:bCs/>
          <w:szCs w:val="21"/>
          <w:highlight w:val="none"/>
          <w:lang w:val="en-US" w:eastAsia="zh-CN"/>
        </w:rPr>
        <w:t>10</w:t>
      </w:r>
      <w:r>
        <w:rPr>
          <w:rFonts w:hint="eastAsia" w:ascii="宋体" w:hAnsi="宋体" w:cs="宋体"/>
          <w:b/>
          <w:bCs/>
          <w:szCs w:val="21"/>
          <w:highlight w:val="none"/>
        </w:rPr>
        <w:t>日11:00（以代理机构网银到账时间为准）</w:t>
      </w:r>
    </w:p>
    <w:p w14:paraId="5DDD040F">
      <w:pPr>
        <w:spacing w:line="460" w:lineRule="exact"/>
        <w:ind w:firstLine="420" w:firstLineChars="200"/>
        <w:rPr>
          <w:rFonts w:hint="eastAsia" w:ascii="宋体" w:hAnsi="宋体" w:cs="宋体"/>
          <w:b/>
          <w:bCs/>
          <w:szCs w:val="21"/>
        </w:rPr>
      </w:pPr>
      <w:r>
        <w:rPr>
          <w:rFonts w:hint="eastAsia" w:ascii="宋体" w:hAnsi="宋体" w:cs="宋体"/>
          <w:szCs w:val="21"/>
        </w:rPr>
        <w:t>投标保证金交纳方式：</w:t>
      </w:r>
      <w:r>
        <w:rPr>
          <w:rFonts w:hint="eastAsia" w:ascii="宋体" w:hAnsi="宋体" w:cs="宋体"/>
          <w:b/>
          <w:bCs/>
          <w:szCs w:val="21"/>
        </w:rPr>
        <w:t>银行电汇或转账（备注项目编号）</w:t>
      </w:r>
    </w:p>
    <w:p w14:paraId="639B9B68">
      <w:pPr>
        <w:spacing w:line="460" w:lineRule="exact"/>
        <w:ind w:firstLine="420" w:firstLineChars="200"/>
        <w:rPr>
          <w:rFonts w:hint="eastAsia" w:ascii="宋体" w:hAnsi="宋体" w:cs="宋体"/>
          <w:szCs w:val="21"/>
        </w:rPr>
      </w:pPr>
      <w:r>
        <w:rPr>
          <w:rFonts w:hint="eastAsia" w:ascii="宋体" w:hAnsi="宋体" w:cs="宋体"/>
          <w:szCs w:val="21"/>
        </w:rPr>
        <w:t>*投标单位必须自行将投标保证金从公司账户按规定方式和时间缴至上述指定账户并到账，拒绝以其他方式缴纳，禁止第三方代缴保证金，否则将被视为无效响应，其投标文件将被拒绝。</w:t>
      </w:r>
    </w:p>
    <w:p w14:paraId="28ACC181">
      <w:pPr>
        <w:spacing w:line="460" w:lineRule="exact"/>
        <w:ind w:firstLine="422" w:firstLineChars="200"/>
        <w:rPr>
          <w:rFonts w:hint="eastAsia" w:ascii="宋体" w:hAnsi="宋体" w:cs="宋体"/>
          <w:b/>
          <w:bCs/>
          <w:szCs w:val="21"/>
        </w:rPr>
      </w:pPr>
      <w:r>
        <w:rPr>
          <w:rFonts w:hint="eastAsia" w:ascii="宋体" w:hAnsi="宋体" w:cs="宋体"/>
          <w:b/>
          <w:bCs/>
          <w:szCs w:val="21"/>
        </w:rPr>
        <w:t>（三）答疑</w:t>
      </w:r>
    </w:p>
    <w:p w14:paraId="7BA16471">
      <w:pPr>
        <w:spacing w:line="460" w:lineRule="exact"/>
        <w:ind w:firstLine="420" w:firstLineChars="200"/>
        <w:rPr>
          <w:rFonts w:hint="eastAsia"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09</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17DB8175">
      <w:pPr>
        <w:numPr>
          <w:ilvl w:val="0"/>
          <w:numId w:val="2"/>
        </w:numPr>
        <w:spacing w:line="460" w:lineRule="exact"/>
        <w:ind w:left="420" w:leftChars="200"/>
        <w:rPr>
          <w:rFonts w:hint="eastAsia" w:ascii="宋体" w:hAnsi="宋体" w:cs="宋体"/>
          <w:b/>
          <w:bCs/>
          <w:kern w:val="0"/>
          <w:szCs w:val="21"/>
        </w:rPr>
      </w:pPr>
      <w:r>
        <w:rPr>
          <w:rFonts w:hint="eastAsia" w:ascii="宋体" w:hAnsi="宋体" w:cs="宋体"/>
          <w:szCs w:val="21"/>
        </w:rPr>
        <w:t>开标时间：</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：00</w:t>
      </w:r>
    </w:p>
    <w:p w14:paraId="0C739F03">
      <w:pPr>
        <w:spacing w:line="460" w:lineRule="exact"/>
        <w:ind w:firstLine="420" w:firstLineChars="200"/>
        <w:rPr>
          <w:rFonts w:hint="eastAsia" w:ascii="宋体" w:hAnsi="宋体" w:cs="宋体"/>
          <w:szCs w:val="21"/>
        </w:rPr>
      </w:pPr>
      <w:r>
        <w:rPr>
          <w:rFonts w:hint="eastAsia" w:ascii="宋体" w:hAnsi="宋体" w:cs="宋体"/>
          <w:szCs w:val="21"/>
        </w:rPr>
        <w:t>六、询价地点：常州市北塘河路8号恒生科技园44-2栋3楼（一号大门往北一百米）　</w:t>
      </w:r>
    </w:p>
    <w:p w14:paraId="58C575EF">
      <w:pPr>
        <w:spacing w:line="460" w:lineRule="exact"/>
        <w:ind w:firstLine="420" w:firstLineChars="200"/>
        <w:rPr>
          <w:rFonts w:hint="eastAsia" w:ascii="宋体" w:hAnsi="宋体" w:cs="宋体"/>
          <w:szCs w:val="21"/>
        </w:rPr>
      </w:pPr>
      <w:r>
        <w:rPr>
          <w:rFonts w:hint="eastAsia" w:ascii="宋体" w:hAnsi="宋体" w:cs="宋体"/>
          <w:szCs w:val="21"/>
        </w:rPr>
        <w:t>七、询价文件售后一概不退。供应商递交的询价文件概不退还。</w:t>
      </w:r>
    </w:p>
    <w:p w14:paraId="14EA7C5F">
      <w:pPr>
        <w:spacing w:line="460" w:lineRule="exact"/>
        <w:ind w:firstLine="420" w:firstLineChars="200"/>
        <w:rPr>
          <w:rFonts w:hint="eastAsia" w:ascii="宋体" w:hAnsi="宋体" w:cs="宋体"/>
          <w:szCs w:val="21"/>
        </w:rPr>
      </w:pPr>
      <w:r>
        <w:rPr>
          <w:rFonts w:hint="eastAsia" w:ascii="宋体" w:hAnsi="宋体" w:cs="宋体"/>
          <w:szCs w:val="21"/>
        </w:rPr>
        <w:t>八、联系方式</w:t>
      </w:r>
    </w:p>
    <w:p w14:paraId="12EE7E08">
      <w:pPr>
        <w:spacing w:line="460" w:lineRule="exact"/>
        <w:ind w:firstLine="420" w:firstLineChars="200"/>
        <w:rPr>
          <w:rFonts w:hint="eastAsia"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hint="eastAsia"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hint="eastAsia"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hint="eastAsia" w:ascii="宋体" w:hAnsi="宋体" w:cs="宋体"/>
          <w:szCs w:val="21"/>
        </w:rPr>
      </w:pPr>
    </w:p>
    <w:p w14:paraId="0D2FBEE9">
      <w:pPr>
        <w:spacing w:line="460" w:lineRule="exact"/>
        <w:ind w:right="360"/>
        <w:jc w:val="right"/>
        <w:rPr>
          <w:rFonts w:hint="eastAsia"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hint="eastAsia" w:ascii="宋体" w:hAnsi="宋体" w:cs="宋体"/>
          <w:szCs w:val="21"/>
        </w:rPr>
      </w:pPr>
      <w:r>
        <w:rPr>
          <w:rFonts w:hint="eastAsia" w:ascii="宋体" w:hAnsi="宋体" w:cs="宋体"/>
          <w:szCs w:val="21"/>
        </w:rPr>
        <w:t>2026年0</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w:t>
      </w:r>
    </w:p>
    <w:p w14:paraId="0EA4F866">
      <w:pPr>
        <w:pStyle w:val="12"/>
        <w:spacing w:line="380" w:lineRule="exact"/>
        <w:jc w:val="center"/>
        <w:rPr>
          <w:rFonts w:hint="eastAsia" w:hAnsi="宋体" w:cs="宋体"/>
          <w:b/>
          <w:bCs/>
          <w:sz w:val="32"/>
          <w:szCs w:val="32"/>
        </w:rPr>
      </w:pPr>
    </w:p>
    <w:p w14:paraId="6A07059E">
      <w:pPr>
        <w:pStyle w:val="12"/>
        <w:spacing w:line="380" w:lineRule="exact"/>
        <w:jc w:val="center"/>
        <w:rPr>
          <w:rFonts w:ascii="Times New Roman" w:hAnsi="Times New Roman" w:cs="Times New Roman"/>
          <w:b/>
          <w:bCs/>
          <w:sz w:val="32"/>
          <w:szCs w:val="32"/>
        </w:rPr>
      </w:pPr>
    </w:p>
    <w:p w14:paraId="5C80809D">
      <w:pPr>
        <w:pStyle w:val="12"/>
        <w:spacing w:line="380" w:lineRule="exact"/>
        <w:jc w:val="center"/>
        <w:rPr>
          <w:rFonts w:hint="eastAsia" w:hAnsi="宋体" w:cs="宋体"/>
          <w:b/>
          <w:bCs/>
          <w:sz w:val="32"/>
          <w:szCs w:val="32"/>
        </w:rPr>
      </w:pPr>
    </w:p>
    <w:p w14:paraId="48D2E66B">
      <w:pPr>
        <w:pStyle w:val="12"/>
        <w:spacing w:line="380" w:lineRule="exact"/>
        <w:jc w:val="center"/>
        <w:rPr>
          <w:rFonts w:hint="eastAsia" w:hAnsi="宋体" w:cs="宋体"/>
          <w:b/>
          <w:bCs/>
          <w:sz w:val="32"/>
          <w:szCs w:val="32"/>
        </w:rPr>
      </w:pPr>
    </w:p>
    <w:p w14:paraId="5DDE797A">
      <w:pPr>
        <w:pStyle w:val="12"/>
        <w:spacing w:line="380" w:lineRule="exact"/>
        <w:jc w:val="center"/>
        <w:rPr>
          <w:rFonts w:hint="eastAsia" w:hAnsi="宋体" w:cs="宋体"/>
          <w:b/>
          <w:bCs/>
          <w:sz w:val="32"/>
          <w:szCs w:val="32"/>
        </w:rPr>
      </w:pPr>
    </w:p>
    <w:p w14:paraId="3AE718A9">
      <w:pPr>
        <w:pStyle w:val="12"/>
        <w:spacing w:line="380" w:lineRule="exact"/>
        <w:jc w:val="center"/>
        <w:rPr>
          <w:rFonts w:hint="eastAsia" w:hAnsi="宋体" w:cs="宋体"/>
          <w:b/>
          <w:bCs/>
          <w:sz w:val="32"/>
          <w:szCs w:val="32"/>
        </w:rPr>
      </w:pPr>
    </w:p>
    <w:p w14:paraId="4EA9CEFB">
      <w:pPr>
        <w:pStyle w:val="12"/>
        <w:spacing w:line="380" w:lineRule="exact"/>
        <w:jc w:val="center"/>
        <w:rPr>
          <w:rFonts w:hint="eastAsia" w:hAnsi="宋体" w:cs="宋体"/>
          <w:b/>
          <w:bCs/>
          <w:sz w:val="32"/>
          <w:szCs w:val="32"/>
        </w:rPr>
      </w:pPr>
    </w:p>
    <w:p w14:paraId="637646E0">
      <w:pPr>
        <w:pStyle w:val="12"/>
        <w:spacing w:line="380" w:lineRule="exact"/>
        <w:jc w:val="center"/>
        <w:rPr>
          <w:rFonts w:hint="eastAsia" w:hAnsi="宋体" w:cs="宋体"/>
          <w:b/>
          <w:bCs/>
          <w:sz w:val="32"/>
          <w:szCs w:val="32"/>
        </w:rPr>
      </w:pPr>
    </w:p>
    <w:p w14:paraId="4B89FB75">
      <w:pPr>
        <w:pStyle w:val="12"/>
        <w:spacing w:line="380" w:lineRule="exact"/>
        <w:jc w:val="center"/>
        <w:rPr>
          <w:rFonts w:hint="eastAsia" w:hAnsi="宋体" w:cs="宋体"/>
          <w:b/>
          <w:bCs/>
          <w:sz w:val="32"/>
          <w:szCs w:val="32"/>
        </w:rPr>
      </w:pPr>
    </w:p>
    <w:p w14:paraId="0780898E">
      <w:pPr>
        <w:pStyle w:val="12"/>
        <w:spacing w:line="380" w:lineRule="exact"/>
        <w:jc w:val="center"/>
        <w:rPr>
          <w:rFonts w:hint="eastAsia" w:hAnsi="宋体" w:cs="宋体"/>
          <w:b/>
          <w:bCs/>
          <w:sz w:val="32"/>
          <w:szCs w:val="32"/>
        </w:rPr>
      </w:pPr>
    </w:p>
    <w:p w14:paraId="6929BC17">
      <w:pPr>
        <w:pStyle w:val="12"/>
        <w:spacing w:line="380" w:lineRule="exact"/>
        <w:jc w:val="center"/>
        <w:rPr>
          <w:rFonts w:hint="eastAsia" w:hAnsi="宋体" w:cs="宋体"/>
          <w:b/>
          <w:bCs/>
          <w:sz w:val="32"/>
          <w:szCs w:val="32"/>
        </w:rPr>
      </w:pPr>
    </w:p>
    <w:p w14:paraId="0A2F043F">
      <w:pPr>
        <w:pStyle w:val="12"/>
        <w:spacing w:line="380" w:lineRule="exact"/>
        <w:jc w:val="center"/>
        <w:rPr>
          <w:rFonts w:hint="eastAsia" w:hAnsi="宋体" w:cs="宋体"/>
          <w:b/>
          <w:bCs/>
          <w:sz w:val="32"/>
          <w:szCs w:val="32"/>
        </w:rPr>
      </w:pPr>
    </w:p>
    <w:p w14:paraId="64F43A59">
      <w:pPr>
        <w:pStyle w:val="12"/>
        <w:spacing w:line="380" w:lineRule="exact"/>
        <w:jc w:val="center"/>
        <w:rPr>
          <w:rFonts w:hint="eastAsia" w:hAnsi="宋体" w:cs="宋体"/>
          <w:b/>
          <w:bCs/>
          <w:sz w:val="32"/>
          <w:szCs w:val="32"/>
        </w:rPr>
      </w:pPr>
    </w:p>
    <w:p w14:paraId="32CF1B26">
      <w:pPr>
        <w:pStyle w:val="12"/>
        <w:spacing w:line="380" w:lineRule="exact"/>
        <w:jc w:val="center"/>
        <w:rPr>
          <w:rFonts w:hint="eastAsia" w:hAnsi="宋体" w:cs="宋体"/>
        </w:rPr>
      </w:pPr>
      <w:r>
        <w:rPr>
          <w:rFonts w:hint="eastAsia" w:hAnsi="宋体" w:cs="宋体"/>
          <w:b/>
          <w:bCs/>
          <w:sz w:val="32"/>
          <w:szCs w:val="32"/>
        </w:rPr>
        <w:t>询价文件</w:t>
      </w:r>
    </w:p>
    <w:p w14:paraId="4E515A32">
      <w:pPr>
        <w:spacing w:line="460" w:lineRule="exact"/>
        <w:ind w:firstLine="420" w:firstLineChars="200"/>
        <w:rPr>
          <w:rFonts w:hint="eastAsia" w:ascii="宋体" w:hAnsi="宋体" w:cs="宋体"/>
          <w:szCs w:val="21"/>
        </w:rPr>
      </w:pPr>
      <w:r>
        <w:rPr>
          <w:rFonts w:hint="eastAsia" w:ascii="宋体" w:hAnsi="宋体" w:cs="宋体"/>
          <w:szCs w:val="21"/>
        </w:rPr>
        <w:t>受江苏中吴常高新环保产业有限公司的委托，对其公司的调试期污水站实验特殊药剂采购进行询价采购。特邀请符合条件的供应商参加。</w:t>
      </w:r>
    </w:p>
    <w:p w14:paraId="21FDFE64">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一、采购项目内容及技术要求</w:t>
      </w:r>
    </w:p>
    <w:p w14:paraId="28150E15">
      <w:pPr>
        <w:spacing w:line="460" w:lineRule="exact"/>
        <w:ind w:firstLine="420" w:firstLineChars="200"/>
        <w:jc w:val="left"/>
        <w:rPr>
          <w:rFonts w:hint="eastAsia" w:ascii="宋体" w:hAnsi="宋体" w:cs="宋体"/>
          <w:szCs w:val="21"/>
        </w:rPr>
      </w:pPr>
      <w:r>
        <w:rPr>
          <w:rFonts w:hint="eastAsia" w:ascii="宋体" w:hAnsi="宋体" w:cs="宋体"/>
          <w:szCs w:val="21"/>
        </w:rPr>
        <w:t>项目编号：恒卓采询（2026）00</w:t>
      </w:r>
      <w:r>
        <w:rPr>
          <w:rFonts w:hint="eastAsia" w:ascii="宋体" w:hAnsi="宋体" w:cs="宋体"/>
          <w:szCs w:val="21"/>
          <w:lang w:val="en-US" w:eastAsia="zh-CN"/>
        </w:rPr>
        <w:t>8</w:t>
      </w:r>
      <w:r>
        <w:rPr>
          <w:rFonts w:hint="eastAsia" w:ascii="宋体" w:hAnsi="宋体" w:cs="宋体"/>
          <w:szCs w:val="21"/>
        </w:rPr>
        <w:t xml:space="preserve">号 </w:t>
      </w:r>
    </w:p>
    <w:p w14:paraId="4ACA079B">
      <w:pPr>
        <w:spacing w:line="460" w:lineRule="exact"/>
        <w:ind w:firstLine="420" w:firstLineChars="200"/>
        <w:jc w:val="left"/>
        <w:rPr>
          <w:rFonts w:hint="eastAsia" w:ascii="宋体" w:hAnsi="宋体" w:cs="宋体"/>
          <w:szCs w:val="21"/>
        </w:rPr>
      </w:pPr>
      <w:r>
        <w:rPr>
          <w:rFonts w:hint="eastAsia" w:ascii="宋体" w:hAnsi="宋体" w:cs="宋体"/>
          <w:szCs w:val="21"/>
        </w:rPr>
        <w:t>项目名称：调试期污水站实验特殊药剂采购</w:t>
      </w:r>
    </w:p>
    <w:p w14:paraId="4392A631">
      <w:pPr>
        <w:spacing w:line="460" w:lineRule="exact"/>
        <w:ind w:firstLine="422" w:firstLineChars="200"/>
        <w:jc w:val="left"/>
        <w:rPr>
          <w:rFonts w:hint="eastAsia" w:ascii="宋体" w:hAnsi="宋体" w:cs="宋体"/>
          <w:szCs w:val="21"/>
        </w:rPr>
      </w:pPr>
      <w:r>
        <w:rPr>
          <w:rFonts w:hint="eastAsia" w:ascii="宋体" w:hAnsi="宋体" w:cs="宋体"/>
          <w:b/>
          <w:bCs/>
          <w:szCs w:val="21"/>
        </w:rPr>
        <w:t>采购预算/最高限价：</w:t>
      </w:r>
      <w:r>
        <w:rPr>
          <w:rFonts w:hint="eastAsia" w:ascii="宋体" w:hAnsi="宋体" w:cs="宋体"/>
          <w:b/>
          <w:bCs/>
        </w:rPr>
        <w:t>55.89万元，</w:t>
      </w:r>
      <w:r>
        <w:rPr>
          <w:rFonts w:hint="eastAsia" w:ascii="宋体" w:hAnsi="宋体" w:cs="宋体"/>
          <w:b/>
          <w:bCs/>
          <w:spacing w:val="2"/>
          <w:szCs w:val="21"/>
        </w:rPr>
        <w:t>投标报价不得超过最高限价，否则作无效响应处理。</w:t>
      </w:r>
    </w:p>
    <w:p w14:paraId="6BFE7A51">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二、资格条件</w:t>
      </w:r>
    </w:p>
    <w:p w14:paraId="1CA7716F">
      <w:pPr>
        <w:spacing w:line="460" w:lineRule="exact"/>
        <w:ind w:firstLine="420" w:firstLineChars="200"/>
        <w:jc w:val="left"/>
        <w:rPr>
          <w:rFonts w:hint="eastAsia" w:ascii="宋体" w:hAnsi="宋体" w:cs="宋体"/>
          <w:szCs w:val="21"/>
        </w:rPr>
      </w:pPr>
      <w:r>
        <w:rPr>
          <w:rFonts w:hint="eastAsia" w:ascii="宋体" w:hAnsi="宋体" w:cs="宋体"/>
          <w:szCs w:val="21"/>
        </w:rPr>
        <w:t>（一）具备《中华人民共和国政府采购法》第二十二条规定条件的法人；</w:t>
      </w:r>
    </w:p>
    <w:p w14:paraId="5EB77A7A">
      <w:pPr>
        <w:spacing w:line="460" w:lineRule="exact"/>
        <w:ind w:firstLine="420" w:firstLineChars="200"/>
        <w:jc w:val="left"/>
        <w:rPr>
          <w:rFonts w:hint="eastAsia" w:ascii="宋体" w:hAnsi="宋体" w:cs="宋体"/>
          <w:szCs w:val="21"/>
        </w:rPr>
      </w:pPr>
      <w:r>
        <w:rPr>
          <w:rFonts w:hint="eastAsia" w:ascii="宋体" w:hAnsi="宋体" w:cs="宋体"/>
          <w:szCs w:val="21"/>
        </w:rPr>
        <w:t xml:space="preserve">1. 具有独立承担民事责任的能力； </w:t>
      </w:r>
    </w:p>
    <w:p w14:paraId="3FE27B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2. 具有良好的商业信誉和健全的财务会计制度； </w:t>
      </w:r>
    </w:p>
    <w:p w14:paraId="6EA02E47">
      <w:pPr>
        <w:spacing w:line="460" w:lineRule="exact"/>
        <w:ind w:firstLine="420" w:firstLineChars="200"/>
        <w:jc w:val="left"/>
        <w:rPr>
          <w:rFonts w:hint="eastAsia" w:ascii="宋体" w:hAnsi="宋体" w:cs="宋体"/>
          <w:szCs w:val="21"/>
        </w:rPr>
      </w:pPr>
      <w:r>
        <w:rPr>
          <w:rFonts w:hint="eastAsia" w:ascii="宋体" w:hAnsi="宋体" w:cs="宋体"/>
          <w:szCs w:val="21"/>
        </w:rPr>
        <w:t xml:space="preserve">3. 具有履行合同所必须的设备和专业技术能力； </w:t>
      </w:r>
    </w:p>
    <w:p w14:paraId="121C51AE">
      <w:pPr>
        <w:spacing w:line="460" w:lineRule="exact"/>
        <w:ind w:firstLine="420" w:firstLineChars="200"/>
        <w:jc w:val="left"/>
        <w:rPr>
          <w:rFonts w:hint="eastAsia" w:ascii="宋体" w:hAnsi="宋体" w:cs="宋体"/>
          <w:szCs w:val="21"/>
        </w:rPr>
      </w:pPr>
      <w:r>
        <w:rPr>
          <w:rFonts w:hint="eastAsia" w:ascii="宋体" w:hAnsi="宋体" w:cs="宋体"/>
          <w:szCs w:val="21"/>
        </w:rPr>
        <w:t xml:space="preserve">4.有依法缴纳税收和社会保障资金的良好记录； </w:t>
      </w:r>
    </w:p>
    <w:p w14:paraId="63764BA9">
      <w:pPr>
        <w:spacing w:line="460" w:lineRule="exact"/>
        <w:ind w:firstLine="420" w:firstLineChars="200"/>
        <w:jc w:val="left"/>
        <w:rPr>
          <w:rFonts w:hint="eastAsia" w:ascii="宋体" w:hAnsi="宋体" w:cs="宋体"/>
          <w:szCs w:val="21"/>
        </w:rPr>
      </w:pPr>
      <w:r>
        <w:rPr>
          <w:rFonts w:hint="eastAsia" w:ascii="宋体" w:hAnsi="宋体" w:cs="宋体"/>
          <w:szCs w:val="21"/>
        </w:rPr>
        <w:t>5.参加政府采购活动前三年内，在经营活动中没有重大违法记录；</w:t>
      </w:r>
    </w:p>
    <w:p w14:paraId="4C418F3A">
      <w:pPr>
        <w:spacing w:line="460" w:lineRule="exact"/>
        <w:ind w:firstLine="420" w:firstLineChars="200"/>
        <w:jc w:val="left"/>
        <w:rPr>
          <w:rFonts w:hint="eastAsia" w:ascii="宋体" w:hAnsi="宋体" w:cs="宋体"/>
          <w:szCs w:val="21"/>
        </w:rPr>
      </w:pPr>
      <w:r>
        <w:rPr>
          <w:rFonts w:hint="eastAsia" w:ascii="宋体" w:hAnsi="宋体" w:cs="宋体"/>
          <w:szCs w:val="21"/>
        </w:rPr>
        <w:t>6.法律、行政法规规定的其他条件</w:t>
      </w:r>
    </w:p>
    <w:p w14:paraId="0A206F14">
      <w:pPr>
        <w:spacing w:line="460" w:lineRule="exact"/>
        <w:ind w:firstLine="420" w:firstLineChars="200"/>
        <w:jc w:val="left"/>
        <w:rPr>
          <w:rFonts w:hint="eastAsia"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1951FEED">
      <w:pPr>
        <w:spacing w:line="460" w:lineRule="exact"/>
        <w:ind w:firstLine="420" w:firstLineChars="200"/>
        <w:jc w:val="left"/>
        <w:rPr>
          <w:rFonts w:hint="eastAsia" w:ascii="宋体" w:hAnsi="宋体" w:cs="宋体"/>
          <w:szCs w:val="21"/>
        </w:rPr>
      </w:pPr>
      <w:r>
        <w:rPr>
          <w:rFonts w:hint="eastAsia" w:ascii="宋体" w:hAnsi="宋体" w:cs="宋体"/>
        </w:rPr>
        <w:t>（三）</w:t>
      </w:r>
      <w:r>
        <w:rPr>
          <w:rFonts w:hint="eastAsia" w:ascii="宋体" w:hAnsi="宋体" w:cs="宋体"/>
          <w:szCs w:val="21"/>
        </w:rPr>
        <w:t>具有营业执照副本</w:t>
      </w:r>
    </w:p>
    <w:p w14:paraId="79AD8776">
      <w:pPr>
        <w:spacing w:line="460" w:lineRule="exact"/>
        <w:ind w:firstLine="420" w:firstLineChars="200"/>
        <w:jc w:val="left"/>
        <w:rPr>
          <w:rFonts w:hint="eastAsia"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(www.ccgp.gov.cn)列入失信被执行人、重大税收违法失信主体名单、政府采购严重失信行为记录名单。</w:t>
      </w:r>
    </w:p>
    <w:p w14:paraId="09A24BB8">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28990013">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62AA069A">
      <w:pPr>
        <w:spacing w:line="460" w:lineRule="exact"/>
        <w:ind w:firstLine="420" w:firstLineChars="200"/>
        <w:rPr>
          <w:rFonts w:hint="eastAsia" w:ascii="宋体" w:hAnsi="宋体" w:cs="宋体"/>
          <w:highlight w:val="none"/>
        </w:rPr>
      </w:pPr>
      <w:r>
        <w:rPr>
          <w:rFonts w:hint="eastAsia" w:ascii="宋体" w:hAnsi="宋体" w:cs="宋体"/>
          <w:highlight w:val="none"/>
        </w:rPr>
        <w:t>2.近3年（投标截止时间前推）具有同类污水处理药剂供应业绩（合同金额30万元及以上），需提供合同复印件加盖公章，时间以合同签订时间为准</w:t>
      </w:r>
      <w:r>
        <w:rPr>
          <w:rFonts w:hint="eastAsia" w:ascii="宋体" w:hAnsi="宋体" w:cs="宋体"/>
          <w:highlight w:val="none"/>
          <w:lang w:eastAsia="zh-CN"/>
        </w:rPr>
        <w:t>，</w:t>
      </w:r>
      <w:r>
        <w:rPr>
          <w:rFonts w:hint="eastAsia" w:ascii="宋体" w:hAnsi="宋体" w:cs="宋体"/>
          <w:highlight w:val="none"/>
        </w:rPr>
        <w:t>金额以合同所载为准</w:t>
      </w:r>
      <w:r>
        <w:rPr>
          <w:rFonts w:hint="eastAsia" w:ascii="宋体" w:hAnsi="宋体" w:cs="宋体"/>
          <w:highlight w:val="none"/>
          <w:lang w:eastAsia="zh-CN"/>
        </w:rPr>
        <w:t>；</w:t>
      </w:r>
    </w:p>
    <w:p w14:paraId="1920AAFC">
      <w:pPr>
        <w:spacing w:line="4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highlight w:val="none"/>
          <w:lang w:eastAsia="zh-CN"/>
        </w:rPr>
        <w:t>提供所有药剂的MSDS及合格证明复印件并加盖公章</w:t>
      </w:r>
      <w:r>
        <w:rPr>
          <w:rFonts w:hint="eastAsia" w:ascii="宋体" w:hAnsi="宋体" w:cs="宋体"/>
          <w:color w:val="000000" w:themeColor="text1"/>
          <w:highlight w:val="none"/>
          <w14:textFill>
            <w14:solidFill>
              <w14:schemeClr w14:val="tx1"/>
            </w14:solidFill>
          </w14:textFill>
        </w:rPr>
        <w:t>。</w:t>
      </w:r>
    </w:p>
    <w:p w14:paraId="1132B102">
      <w:pPr>
        <w:spacing w:line="460" w:lineRule="exact"/>
        <w:jc w:val="left"/>
        <w:rPr>
          <w:rFonts w:hint="eastAsia" w:ascii="宋体" w:hAnsi="宋体" w:cs="宋体"/>
          <w:szCs w:val="21"/>
          <w:highlight w:val="none"/>
        </w:rPr>
      </w:pPr>
      <w:r>
        <w:rPr>
          <w:rFonts w:hint="eastAsia" w:ascii="宋体" w:hAnsi="宋体" w:cs="宋体"/>
          <w:szCs w:val="21"/>
          <w:highlight w:val="none"/>
        </w:rPr>
        <w:t>三、询价响应文件的组成及要求</w:t>
      </w:r>
    </w:p>
    <w:p w14:paraId="60BD4602">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（一）文件组成：</w:t>
      </w:r>
    </w:p>
    <w:p w14:paraId="5833A1FA">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1.投标函</w:t>
      </w:r>
    </w:p>
    <w:p w14:paraId="4FD9D933">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zh-CN"/>
        </w:rPr>
        <w:t>承诺函</w:t>
      </w:r>
    </w:p>
    <w:p w14:paraId="736E4A26">
      <w:pPr>
        <w:spacing w:line="460" w:lineRule="exact"/>
        <w:ind w:firstLine="420" w:firstLineChars="200"/>
        <w:jc w:val="left"/>
        <w:rPr>
          <w:rFonts w:hint="eastAsia" w:ascii="宋体" w:hAnsi="宋体" w:cs="宋体"/>
          <w:szCs w:val="21"/>
          <w:lang w:val="zh-CN"/>
        </w:rPr>
      </w:pPr>
      <w:r>
        <w:rPr>
          <w:rFonts w:hint="eastAsia" w:ascii="宋体" w:hAnsi="宋体" w:cs="宋体"/>
          <w:szCs w:val="21"/>
        </w:rPr>
        <w:t>3.法定代表人身份证明复印件；授权委托书、代理人身份证复印件</w:t>
      </w:r>
      <w:r>
        <w:rPr>
          <w:rFonts w:hint="eastAsia" w:ascii="宋体" w:hAnsi="宋体" w:cs="宋体"/>
          <w:b/>
          <w:bCs/>
          <w:szCs w:val="21"/>
        </w:rPr>
        <w:t>（如果有授权委托情况的，必须提供，需提供近三个月2025年1</w:t>
      </w:r>
      <w:r>
        <w:rPr>
          <w:rFonts w:hint="eastAsia" w:ascii="宋体" w:hAnsi="宋体" w:cs="宋体"/>
          <w:b/>
          <w:bCs/>
          <w:szCs w:val="21"/>
          <w:lang w:val="en-US" w:eastAsia="zh-CN"/>
        </w:rPr>
        <w:t>1</w:t>
      </w:r>
      <w:r>
        <w:rPr>
          <w:rFonts w:hint="eastAsia" w:ascii="宋体" w:hAnsi="宋体" w:cs="宋体"/>
          <w:b/>
          <w:bCs/>
          <w:szCs w:val="21"/>
        </w:rPr>
        <w:t>月-202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月社保证明）</w:t>
      </w:r>
      <w:r>
        <w:rPr>
          <w:rFonts w:hint="eastAsia" w:ascii="宋体" w:hAnsi="宋体" w:cs="宋体"/>
          <w:szCs w:val="21"/>
        </w:rPr>
        <w:t>（后附法定代表人授权委托书格式）</w:t>
      </w:r>
    </w:p>
    <w:p w14:paraId="691F7EBA">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4.营业执照副本复印件加盖公章；</w:t>
      </w:r>
    </w:p>
    <w:p w14:paraId="55E3F318">
      <w:pPr>
        <w:spacing w:line="460" w:lineRule="exact"/>
        <w:ind w:firstLine="420" w:firstLineChars="200"/>
        <w:rPr>
          <w:rFonts w:hint="eastAsia" w:ascii="宋体" w:hAnsi="宋体" w:cs="宋体"/>
          <w:highlight w:val="none"/>
        </w:rPr>
      </w:pPr>
      <w:r>
        <w:rPr>
          <w:rFonts w:hint="eastAsia" w:ascii="宋体" w:hAnsi="宋体" w:cs="宋体"/>
          <w:highlight w:val="none"/>
        </w:rPr>
        <w:t>5.提供有效期内的《危险化学品经营许可证》；</w:t>
      </w:r>
      <w:bookmarkStart w:id="77" w:name="_GoBack"/>
      <w:bookmarkEnd w:id="77"/>
    </w:p>
    <w:p w14:paraId="210A864F">
      <w:pPr>
        <w:spacing w:line="460" w:lineRule="exact"/>
        <w:ind w:firstLine="420" w:firstLineChars="200"/>
        <w:rPr>
          <w:rFonts w:hint="eastAsia" w:ascii="宋体" w:hAnsi="宋体" w:cs="宋体"/>
          <w:highlight w:val="none"/>
        </w:rPr>
      </w:pPr>
      <w:r>
        <w:rPr>
          <w:rFonts w:hint="eastAsia" w:ascii="宋体" w:hAnsi="宋体" w:cs="宋体"/>
          <w:highlight w:val="none"/>
        </w:rPr>
        <w:t>6.近3年（投标截止时间前推）具有同类污水处理药剂供应业绩（合同金额30万元及以上），需提供合同复印件加盖公章，时间以合同签订时间为准</w:t>
      </w:r>
      <w:r>
        <w:rPr>
          <w:rFonts w:hint="eastAsia" w:ascii="宋体" w:hAnsi="宋体" w:cs="宋体"/>
          <w:highlight w:val="none"/>
          <w:lang w:eastAsia="zh-CN"/>
        </w:rPr>
        <w:t>，</w:t>
      </w:r>
      <w:r>
        <w:rPr>
          <w:rFonts w:hint="eastAsia" w:ascii="宋体" w:hAnsi="宋体" w:cs="宋体"/>
          <w:highlight w:val="none"/>
        </w:rPr>
        <w:t>金额以合同所载为准</w:t>
      </w:r>
      <w:r>
        <w:rPr>
          <w:rFonts w:hint="eastAsia" w:ascii="宋体" w:hAnsi="宋体" w:cs="宋体"/>
          <w:highlight w:val="none"/>
          <w:lang w:eastAsia="zh-CN"/>
        </w:rPr>
        <w:t>；</w:t>
      </w:r>
    </w:p>
    <w:p w14:paraId="24EA7CCB">
      <w:pPr>
        <w:spacing w:line="460" w:lineRule="exact"/>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7.</w:t>
      </w:r>
      <w:r>
        <w:rPr>
          <w:rFonts w:hint="eastAsia" w:ascii="宋体" w:hAnsi="宋体" w:cs="宋体"/>
          <w:highlight w:val="none"/>
          <w:lang w:eastAsia="zh-CN"/>
        </w:rPr>
        <w:t>提供所有药剂的MSDS及合格证明复印件并加盖公章</w:t>
      </w:r>
    </w:p>
    <w:p w14:paraId="784D8733">
      <w:pPr>
        <w:spacing w:line="460" w:lineRule="exact"/>
        <w:ind w:firstLine="420" w:firstLineChars="200"/>
        <w:jc w:val="left"/>
        <w:rPr>
          <w:rFonts w:hint="eastAsia" w:ascii="宋体" w:hAnsi="宋体" w:cs="宋体"/>
          <w:szCs w:val="21"/>
        </w:rPr>
      </w:pPr>
      <w:r>
        <w:rPr>
          <w:rFonts w:hint="eastAsia" w:ascii="宋体" w:hAnsi="宋体" w:cs="宋体"/>
          <w:szCs w:val="21"/>
          <w:highlight w:val="none"/>
          <w:lang w:val="en-US" w:eastAsia="zh-CN"/>
        </w:rPr>
        <w:t>8</w:t>
      </w:r>
      <w:r>
        <w:rPr>
          <w:rFonts w:hint="eastAsia" w:ascii="宋体" w:hAnsi="宋体" w:cs="宋体"/>
          <w:szCs w:val="21"/>
          <w:highlight w:val="none"/>
        </w:rPr>
        <w:t>.未被“信用中国”网站（www.creditchina.gov.cn）、中国政府采购网 (www.ccgp.gov.cn)列入失信被执行人、重大税收违法失信主体名单、政府采购严重失信行为记录名单（以开标后现</w:t>
      </w:r>
      <w:r>
        <w:rPr>
          <w:rFonts w:hint="eastAsia" w:ascii="宋体" w:hAnsi="宋体" w:cs="宋体"/>
          <w:szCs w:val="21"/>
        </w:rPr>
        <w:t>场查询结果为准）；</w:t>
      </w:r>
    </w:p>
    <w:p w14:paraId="5148A35E">
      <w:pPr>
        <w:spacing w:line="460" w:lineRule="exact"/>
        <w:ind w:firstLine="420" w:firstLineChars="200"/>
        <w:jc w:val="left"/>
        <w:rPr>
          <w:rFonts w:hint="eastAsia" w:ascii="宋体" w:hAnsi="宋体" w:cs="宋体"/>
          <w:szCs w:val="21"/>
        </w:rPr>
      </w:pPr>
      <w:r>
        <w:rPr>
          <w:rFonts w:hint="eastAsia" w:ascii="宋体" w:hAnsi="宋体" w:cs="宋体"/>
          <w:szCs w:val="21"/>
        </w:rPr>
        <w:t>（二）技术部分</w:t>
      </w:r>
    </w:p>
    <w:p w14:paraId="6AB02017">
      <w:pPr>
        <w:spacing w:line="460" w:lineRule="exact"/>
        <w:ind w:firstLine="422" w:firstLineChars="200"/>
        <w:jc w:val="left"/>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1CC157C">
      <w:pPr>
        <w:spacing w:line="460" w:lineRule="exact"/>
        <w:ind w:firstLine="422" w:firstLineChars="200"/>
        <w:jc w:val="left"/>
        <w:rPr>
          <w:rFonts w:hint="eastAsia" w:ascii="宋体" w:hAnsi="宋体" w:cs="宋体"/>
          <w:b/>
          <w:bCs/>
          <w:szCs w:val="21"/>
        </w:rPr>
      </w:pPr>
      <w:r>
        <w:rPr>
          <w:rFonts w:hint="eastAsia" w:ascii="宋体" w:hAnsi="宋体" w:cs="宋体"/>
          <w:b/>
          <w:bCs/>
          <w:szCs w:val="21"/>
        </w:rPr>
        <w:t>2.质量保证、服务承诺书</w:t>
      </w:r>
      <w:r>
        <w:rPr>
          <w:rFonts w:hint="eastAsia" w:ascii="宋体" w:hAnsi="宋体" w:cs="宋体"/>
          <w:b/>
          <w:bCs/>
          <w:szCs w:val="21"/>
          <w:lang w:val="zh-CN"/>
        </w:rPr>
        <w:t>；</w:t>
      </w:r>
    </w:p>
    <w:p w14:paraId="0D60E495">
      <w:pPr>
        <w:spacing w:line="460" w:lineRule="exact"/>
        <w:ind w:firstLine="422" w:firstLineChars="200"/>
        <w:jc w:val="left"/>
        <w:rPr>
          <w:rFonts w:hint="eastAsia" w:ascii="宋体" w:hAnsi="宋体" w:cs="宋体"/>
          <w:b/>
          <w:bCs/>
          <w:szCs w:val="21"/>
        </w:rPr>
      </w:pPr>
      <w:r>
        <w:rPr>
          <w:rFonts w:hint="eastAsia" w:ascii="宋体" w:hAnsi="宋体" w:cs="宋体"/>
          <w:b/>
          <w:bCs/>
          <w:szCs w:val="21"/>
        </w:rPr>
        <w:t>3.供应商管理关系或控股关系信息情况表；</w:t>
      </w:r>
    </w:p>
    <w:p w14:paraId="592DD3E3">
      <w:pPr>
        <w:spacing w:line="460" w:lineRule="exact"/>
        <w:ind w:firstLine="422" w:firstLineChars="200"/>
        <w:jc w:val="left"/>
        <w:rPr>
          <w:rFonts w:hint="eastAsia" w:ascii="宋体" w:hAnsi="宋体" w:cs="宋体"/>
          <w:b/>
          <w:bCs/>
          <w:szCs w:val="21"/>
        </w:rPr>
      </w:pPr>
      <w:r>
        <w:rPr>
          <w:rFonts w:hint="eastAsia" w:ascii="宋体" w:hAnsi="宋体" w:cs="宋体"/>
          <w:b/>
          <w:bCs/>
          <w:szCs w:val="21"/>
        </w:rPr>
        <w:t>4.投标保证金缴纳证明</w:t>
      </w:r>
    </w:p>
    <w:p w14:paraId="4E269F4E">
      <w:pPr>
        <w:spacing w:line="460" w:lineRule="exact"/>
        <w:ind w:firstLine="420" w:firstLineChars="200"/>
        <w:jc w:val="left"/>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供应商认为需要提供的其他技术文件或资料等。</w:t>
      </w:r>
    </w:p>
    <w:p w14:paraId="3ABA4622">
      <w:pPr>
        <w:spacing w:line="460" w:lineRule="exact"/>
        <w:ind w:firstLine="420" w:firstLineChars="200"/>
        <w:jc w:val="left"/>
        <w:rPr>
          <w:rFonts w:hint="eastAsia" w:ascii="宋体" w:hAnsi="宋体" w:cs="宋体"/>
          <w:szCs w:val="21"/>
        </w:rPr>
      </w:pPr>
      <w:r>
        <w:rPr>
          <w:rFonts w:hint="eastAsia" w:ascii="宋体" w:hAnsi="宋体" w:cs="宋体"/>
          <w:szCs w:val="21"/>
        </w:rPr>
        <w:t>（三）报价部分</w:t>
      </w:r>
    </w:p>
    <w:p w14:paraId="1721552E">
      <w:pPr>
        <w:spacing w:line="460" w:lineRule="exact"/>
        <w:ind w:firstLine="420" w:firstLineChars="200"/>
        <w:jc w:val="left"/>
        <w:rPr>
          <w:rFonts w:hint="eastAsia" w:ascii="宋体" w:hAnsi="宋体" w:cs="宋体"/>
          <w:szCs w:val="21"/>
        </w:rPr>
      </w:pPr>
      <w:r>
        <w:rPr>
          <w:rFonts w:hint="eastAsia" w:ascii="宋体" w:hAnsi="宋体" w:cs="宋体"/>
          <w:szCs w:val="21"/>
        </w:rPr>
        <w:t>1.开标一览表、分项报价表</w:t>
      </w:r>
    </w:p>
    <w:p w14:paraId="74CD7C7B">
      <w:pPr>
        <w:spacing w:line="460" w:lineRule="exact"/>
        <w:ind w:firstLine="422" w:firstLineChars="200"/>
        <w:jc w:val="left"/>
        <w:rPr>
          <w:rFonts w:hint="eastAsia" w:ascii="宋体" w:hAnsi="宋体" w:cs="宋体"/>
          <w:b/>
          <w:bCs/>
          <w:szCs w:val="21"/>
        </w:rPr>
      </w:pPr>
      <w:r>
        <w:rPr>
          <w:rFonts w:hint="eastAsia" w:ascii="宋体" w:hAnsi="宋体" w:cs="宋体"/>
          <w:b/>
          <w:bCs/>
          <w:szCs w:val="21"/>
        </w:rPr>
        <w:t xml:space="preserve">  上述（一）-（三）项所有内容为必备材料，如有缺项为无效响应。</w:t>
      </w:r>
    </w:p>
    <w:p w14:paraId="0A2D726C">
      <w:pPr>
        <w:spacing w:line="460" w:lineRule="exact"/>
        <w:jc w:val="left"/>
        <w:rPr>
          <w:rFonts w:hint="eastAsia" w:ascii="宋体" w:hAnsi="宋体" w:cs="宋体"/>
          <w:b/>
          <w:bCs/>
          <w:szCs w:val="21"/>
        </w:rPr>
      </w:pPr>
      <w:r>
        <w:rPr>
          <w:rFonts w:hint="eastAsia" w:ascii="宋体" w:hAnsi="宋体" w:cs="宋体"/>
          <w:b/>
          <w:bCs/>
          <w:szCs w:val="21"/>
        </w:rPr>
        <w:t>四、响应文件的制作应当符合以下要求，否则作为无效响应文件：</w:t>
      </w:r>
    </w:p>
    <w:p w14:paraId="0C8B56E7">
      <w:pPr>
        <w:spacing w:line="46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5891A233">
      <w:pPr>
        <w:spacing w:line="440" w:lineRule="exact"/>
        <w:ind w:firstLine="420" w:firstLineChars="200"/>
        <w:rPr>
          <w:rFonts w:hint="eastAsia"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60866E7">
      <w:pPr>
        <w:spacing w:line="440" w:lineRule="exact"/>
        <w:ind w:firstLine="420" w:firstLineChars="200"/>
        <w:rPr>
          <w:rFonts w:hint="eastAsia"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6B6086BB">
      <w:pPr>
        <w:spacing w:line="440" w:lineRule="exact"/>
        <w:ind w:firstLine="420" w:firstLineChars="200"/>
        <w:rPr>
          <w:rFonts w:hint="eastAsia" w:ascii="宋体" w:hAnsi="宋体" w:cs="宋体"/>
          <w:szCs w:val="21"/>
        </w:rPr>
      </w:pPr>
      <w:r>
        <w:rPr>
          <w:rFonts w:hint="eastAsia" w:ascii="宋体" w:hAnsi="宋体" w:cs="宋体"/>
          <w:szCs w:val="21"/>
        </w:rPr>
        <w:t>4.竞标报价清晰准确，不存在影响其他竞标人评分的严重错误。</w:t>
      </w:r>
    </w:p>
    <w:p w14:paraId="711D9377">
      <w:pPr>
        <w:spacing w:line="440" w:lineRule="exact"/>
        <w:rPr>
          <w:rFonts w:hint="eastAsia" w:ascii="宋体" w:hAnsi="宋体" w:cs="宋体"/>
          <w:szCs w:val="21"/>
        </w:rPr>
      </w:pPr>
      <w:r>
        <w:rPr>
          <w:rFonts w:hint="eastAsia" w:ascii="宋体" w:hAnsi="宋体" w:cs="宋体"/>
          <w:b/>
          <w:szCs w:val="21"/>
        </w:rPr>
        <w:t>五、响应文件的密封、装订与标志</w:t>
      </w:r>
    </w:p>
    <w:p w14:paraId="16AF2CDA">
      <w:pPr>
        <w:spacing w:line="440" w:lineRule="exact"/>
        <w:ind w:firstLine="420" w:firstLineChars="200"/>
        <w:rPr>
          <w:rFonts w:hint="eastAsia" w:ascii="宋体" w:hAnsi="宋体" w:cs="宋体"/>
          <w:szCs w:val="21"/>
        </w:rPr>
      </w:pPr>
      <w:r>
        <w:rPr>
          <w:rFonts w:hint="eastAsia" w:ascii="宋体" w:hAnsi="宋体" w:cs="宋体"/>
          <w:szCs w:val="21"/>
        </w:rPr>
        <w:t>1.竞标人应将响应文件正本、所有副本、U盘密封。不论竞标人中标与否，响应文件均不退回。</w:t>
      </w:r>
    </w:p>
    <w:p w14:paraId="59585AF8">
      <w:pPr>
        <w:spacing w:line="440" w:lineRule="exact"/>
        <w:ind w:firstLine="422" w:firstLineChars="200"/>
        <w:rPr>
          <w:rFonts w:hint="eastAsia"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2DA6C9A4">
      <w:pPr>
        <w:spacing w:line="440" w:lineRule="exact"/>
        <w:ind w:firstLine="420" w:firstLineChars="200"/>
        <w:rPr>
          <w:rFonts w:hint="eastAsia" w:ascii="宋体" w:hAnsi="宋体" w:cs="宋体"/>
          <w:szCs w:val="21"/>
        </w:rPr>
      </w:pPr>
      <w:r>
        <w:rPr>
          <w:rFonts w:hint="eastAsia" w:ascii="宋体" w:hAnsi="宋体" w:cs="宋体"/>
          <w:szCs w:val="21"/>
        </w:rPr>
        <w:t>3.竞标人违反上述规定的，其竞标文件将被作为无效响应文件，不予拆封和参加评审。</w:t>
      </w:r>
    </w:p>
    <w:p w14:paraId="7292617B">
      <w:pPr>
        <w:spacing w:line="440" w:lineRule="exact"/>
        <w:rPr>
          <w:rFonts w:hint="eastAsia" w:ascii="宋体" w:hAnsi="宋体" w:cs="宋体"/>
          <w:b/>
          <w:szCs w:val="21"/>
        </w:rPr>
      </w:pPr>
      <w:r>
        <w:rPr>
          <w:rFonts w:hint="eastAsia" w:ascii="宋体" w:hAnsi="宋体" w:cs="宋体"/>
          <w:b/>
          <w:szCs w:val="21"/>
        </w:rPr>
        <w:t>六、响应文件提交截止时间及地点</w:t>
      </w:r>
    </w:p>
    <w:p w14:paraId="74B2A1C5">
      <w:pPr>
        <w:spacing w:line="440" w:lineRule="exact"/>
        <w:ind w:firstLine="420" w:firstLineChars="200"/>
        <w:rPr>
          <w:rFonts w:hint="eastAsia"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03F4E69A">
      <w:pPr>
        <w:spacing w:line="440" w:lineRule="exact"/>
        <w:ind w:firstLine="430" w:firstLineChars="200"/>
        <w:rPr>
          <w:rFonts w:hint="eastAsia"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653F41F0">
      <w:pPr>
        <w:spacing w:line="440" w:lineRule="exact"/>
        <w:rPr>
          <w:rFonts w:hint="eastAsia" w:ascii="宋体" w:hAnsi="宋体" w:cs="宋体"/>
          <w:b/>
          <w:kern w:val="0"/>
          <w:szCs w:val="21"/>
        </w:rPr>
      </w:pPr>
      <w:r>
        <w:rPr>
          <w:rFonts w:hint="eastAsia" w:ascii="宋体" w:hAnsi="宋体" w:cs="宋体"/>
          <w:b/>
          <w:szCs w:val="21"/>
        </w:rPr>
        <w:t>七、废标、流标条款</w:t>
      </w:r>
    </w:p>
    <w:p w14:paraId="46D18388">
      <w:pPr>
        <w:spacing w:line="440" w:lineRule="exact"/>
        <w:ind w:firstLine="420" w:firstLineChars="200"/>
        <w:rPr>
          <w:rFonts w:hint="eastAsia"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6EAFCF19">
      <w:pPr>
        <w:spacing w:line="440" w:lineRule="exact"/>
        <w:ind w:firstLine="420" w:firstLineChars="200"/>
        <w:rPr>
          <w:rFonts w:hint="eastAsia" w:ascii="宋体" w:hAnsi="宋体" w:cs="宋体"/>
          <w:szCs w:val="21"/>
        </w:rPr>
      </w:pPr>
      <w:r>
        <w:rPr>
          <w:rFonts w:hint="eastAsia" w:ascii="宋体" w:hAnsi="宋体" w:cs="宋体"/>
          <w:szCs w:val="21"/>
        </w:rPr>
        <w:t>2.出现影响招标公正的违法、违规行为的；</w:t>
      </w:r>
    </w:p>
    <w:p w14:paraId="69A8D1FD">
      <w:pPr>
        <w:spacing w:line="440" w:lineRule="exact"/>
        <w:ind w:firstLine="420" w:firstLineChars="200"/>
        <w:rPr>
          <w:rFonts w:hint="eastAsia" w:ascii="宋体" w:hAnsi="宋体" w:cs="宋体"/>
          <w:szCs w:val="21"/>
        </w:rPr>
      </w:pPr>
      <w:r>
        <w:rPr>
          <w:rFonts w:hint="eastAsia" w:ascii="宋体" w:hAnsi="宋体" w:cs="宋体"/>
          <w:szCs w:val="21"/>
        </w:rPr>
        <w:t>3.评标委员会认定询价文件存在歧义、重大缺陷导致评审工作无法进行；</w:t>
      </w:r>
    </w:p>
    <w:p w14:paraId="0C8CC3EF">
      <w:pPr>
        <w:spacing w:line="440" w:lineRule="exact"/>
        <w:ind w:firstLine="420" w:firstLineChars="200"/>
        <w:rPr>
          <w:rFonts w:hint="eastAsia" w:ascii="宋体" w:hAnsi="宋体" w:cs="宋体"/>
          <w:szCs w:val="21"/>
        </w:rPr>
      </w:pPr>
      <w:r>
        <w:rPr>
          <w:rFonts w:hint="eastAsia" w:ascii="宋体" w:hAnsi="宋体" w:cs="宋体"/>
          <w:szCs w:val="21"/>
        </w:rPr>
        <w:t>4.因重大变故，招标任务取消的。</w:t>
      </w:r>
    </w:p>
    <w:p w14:paraId="0F456651">
      <w:pPr>
        <w:widowControl/>
        <w:snapToGrid w:val="0"/>
        <w:spacing w:line="460" w:lineRule="exact"/>
        <w:ind w:right="-153"/>
        <w:jc w:val="left"/>
        <w:rPr>
          <w:rFonts w:hint="eastAsia" w:ascii="宋体" w:hAnsi="宋体" w:cs="宋体"/>
          <w:b/>
          <w:bCs/>
          <w:kern w:val="0"/>
          <w:szCs w:val="21"/>
        </w:rPr>
      </w:pPr>
      <w:r>
        <w:rPr>
          <w:rFonts w:hint="eastAsia" w:ascii="宋体" w:hAnsi="宋体" w:cs="宋体"/>
          <w:b/>
          <w:bCs/>
          <w:szCs w:val="21"/>
        </w:rPr>
        <w:t>八、综合说明</w:t>
      </w:r>
    </w:p>
    <w:p w14:paraId="57A2ADCE">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szCs w:val="21"/>
        </w:rPr>
        <w:t>1.本项目为固定全费用单价，投标总价</w:t>
      </w:r>
      <w:r>
        <w:rPr>
          <w:rFonts w:hint="eastAsia" w:ascii="宋体" w:hAnsi="宋体" w:cs="宋体"/>
          <w:szCs w:val="21"/>
          <w:lang w:bidi="ar"/>
        </w:rPr>
        <w:t>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132539EA">
      <w:pPr>
        <w:widowControl/>
        <w:snapToGrid w:val="0"/>
        <w:spacing w:line="460" w:lineRule="exact"/>
        <w:ind w:right="-153" w:firstLine="525" w:firstLineChars="250"/>
        <w:jc w:val="left"/>
        <w:rPr>
          <w:rFonts w:hint="eastAsia"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bCs/>
          <w:kern w:val="0"/>
          <w:szCs w:val="21"/>
        </w:rPr>
        <w:t>前</w:t>
      </w:r>
      <w:r>
        <w:rPr>
          <w:rFonts w:hint="eastAsia" w:ascii="宋体" w:hAnsi="宋体" w:cs="宋体"/>
          <w:kern w:val="0"/>
          <w:szCs w:val="21"/>
        </w:rPr>
        <w:t>在江苏恒卓工程管理咨询有限公司开始评标。</w:t>
      </w:r>
    </w:p>
    <w:p w14:paraId="162B7EE2">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0"/>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DAF5269">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4.投标保证金</w:t>
      </w:r>
    </w:p>
    <w:p w14:paraId="69F9435C">
      <w:pPr>
        <w:spacing w:line="440" w:lineRule="exact"/>
        <w:ind w:firstLine="420" w:firstLineChars="200"/>
        <w:rPr>
          <w:rFonts w:hint="eastAsia" w:ascii="宋体" w:hAnsi="宋体" w:cs="宋体"/>
          <w:szCs w:val="21"/>
        </w:rPr>
      </w:pPr>
      <w:r>
        <w:rPr>
          <w:rFonts w:hint="eastAsia" w:ascii="宋体" w:hAnsi="宋体" w:cs="宋体"/>
          <w:szCs w:val="21"/>
        </w:rPr>
        <w:t>4.1投标保证金是投标文件的一个组成部分，投标单位须按规定从公司账户缴纳。在开标时，未按要求缴纳保证金的投标无效，无效投标不予参加评审。</w:t>
      </w:r>
    </w:p>
    <w:p w14:paraId="1A9A09A0">
      <w:pPr>
        <w:spacing w:line="440" w:lineRule="exact"/>
        <w:ind w:firstLine="420" w:firstLineChars="200"/>
        <w:rPr>
          <w:rFonts w:hint="eastAsia" w:ascii="宋体" w:hAnsi="宋体" w:cs="宋体"/>
          <w:szCs w:val="21"/>
        </w:rPr>
      </w:pPr>
      <w:r>
        <w:rPr>
          <w:rFonts w:hint="eastAsia" w:ascii="宋体" w:hAnsi="宋体" w:cs="宋体"/>
          <w:szCs w:val="21"/>
        </w:rPr>
        <w:t>4.2未中标的投标单位保证金将在公示有效期（七个工作日）后五个工作日内无息退回。未中标（成交）单位须自行将保证金收据背书单位名称、开户行及账号、联系人及电话后至综合办办理退款事宜。</w:t>
      </w:r>
    </w:p>
    <w:p w14:paraId="226FF381">
      <w:pPr>
        <w:spacing w:line="440" w:lineRule="exact"/>
        <w:ind w:firstLine="420" w:firstLineChars="200"/>
        <w:rPr>
          <w:rFonts w:hint="eastAsia" w:ascii="宋体" w:hAnsi="宋体" w:cs="宋体"/>
          <w:szCs w:val="21"/>
        </w:rPr>
      </w:pPr>
      <w:r>
        <w:rPr>
          <w:rFonts w:hint="eastAsia" w:ascii="宋体" w:hAnsi="宋体" w:cs="宋体"/>
          <w:szCs w:val="21"/>
        </w:rPr>
        <w:t>4.3中标（成交）单位的投标保证金将在其合同签约完毕（合同须由代理机构备案）后五个工作日内无息退还。</w:t>
      </w:r>
    </w:p>
    <w:p w14:paraId="3BDD4E11">
      <w:pPr>
        <w:spacing w:line="440" w:lineRule="exact"/>
        <w:ind w:firstLine="420" w:firstLineChars="200"/>
        <w:rPr>
          <w:rFonts w:hint="eastAsia" w:ascii="宋体" w:hAnsi="宋体" w:cs="宋体"/>
          <w:szCs w:val="21"/>
        </w:rPr>
      </w:pPr>
      <w:r>
        <w:rPr>
          <w:rFonts w:hint="eastAsia" w:ascii="宋体" w:hAnsi="宋体" w:cs="宋体"/>
          <w:szCs w:val="21"/>
        </w:rPr>
        <w:t>4.4投标单位出现下列情况之一的，取消其中标资格，</w:t>
      </w:r>
      <w:r>
        <w:rPr>
          <w:rFonts w:hint="eastAsia" w:ascii="宋体" w:hAnsi="宋体" w:cs="宋体"/>
          <w:b/>
          <w:bCs/>
          <w:szCs w:val="21"/>
        </w:rPr>
        <w:t>并没收其投标保证金：</w:t>
      </w:r>
    </w:p>
    <w:p w14:paraId="3408B07A">
      <w:pPr>
        <w:spacing w:line="440" w:lineRule="exact"/>
        <w:ind w:firstLine="420" w:firstLineChars="200"/>
        <w:rPr>
          <w:rFonts w:hint="eastAsia" w:ascii="宋体" w:hAnsi="宋体" w:cs="宋体"/>
          <w:szCs w:val="21"/>
        </w:rPr>
      </w:pPr>
      <w:r>
        <w:rPr>
          <w:rFonts w:hint="eastAsia" w:ascii="宋体" w:hAnsi="宋体" w:cs="宋体"/>
          <w:szCs w:val="21"/>
        </w:rPr>
        <w:t>4.4.1投标单位在投标有效期内撤回其投标文件；</w:t>
      </w:r>
    </w:p>
    <w:p w14:paraId="4C670B0A">
      <w:pPr>
        <w:spacing w:line="440" w:lineRule="exact"/>
        <w:ind w:firstLine="420" w:firstLineChars="200"/>
        <w:rPr>
          <w:rFonts w:hint="eastAsia" w:ascii="宋体" w:hAnsi="宋体" w:cs="宋体"/>
          <w:szCs w:val="21"/>
        </w:rPr>
      </w:pPr>
      <w:r>
        <w:rPr>
          <w:rFonts w:hint="eastAsia" w:ascii="宋体" w:hAnsi="宋体" w:cs="宋体"/>
          <w:szCs w:val="21"/>
        </w:rPr>
        <w:t>4.4.2中标（成交）单位未能在招标文件规定的期限提交履约担保；</w:t>
      </w:r>
    </w:p>
    <w:p w14:paraId="281F6CDB">
      <w:pPr>
        <w:spacing w:line="440" w:lineRule="exact"/>
        <w:ind w:firstLine="420" w:firstLineChars="200"/>
        <w:rPr>
          <w:rFonts w:hint="eastAsia" w:ascii="宋体" w:hAnsi="宋体" w:cs="宋体"/>
          <w:szCs w:val="21"/>
        </w:rPr>
      </w:pPr>
      <w:r>
        <w:rPr>
          <w:rFonts w:hint="eastAsia" w:ascii="宋体" w:hAnsi="宋体" w:cs="宋体"/>
          <w:szCs w:val="21"/>
        </w:rPr>
        <w:t>4.4.3中标（成交）单位无正当理由拒绝签订合同或者由于投标单位的原因导致中标无效的；</w:t>
      </w:r>
    </w:p>
    <w:p w14:paraId="589FC873">
      <w:pPr>
        <w:spacing w:line="440" w:lineRule="exact"/>
        <w:ind w:firstLine="420" w:firstLineChars="200"/>
        <w:rPr>
          <w:rFonts w:hint="eastAsia" w:ascii="宋体" w:hAnsi="宋体" w:cs="宋体"/>
          <w:szCs w:val="21"/>
        </w:rPr>
      </w:pPr>
      <w:r>
        <w:rPr>
          <w:rFonts w:hint="eastAsia" w:ascii="宋体" w:hAnsi="宋体" w:cs="宋体"/>
          <w:szCs w:val="21"/>
        </w:rPr>
        <w:t>4.4.4投标单位提供的有关资料、资格证明文件被确认是不真实的或投标单位之间被证实有串通（统一哄抬价格）、欺诈行为；</w:t>
      </w:r>
    </w:p>
    <w:p w14:paraId="04D9DB24">
      <w:pPr>
        <w:spacing w:line="440" w:lineRule="exact"/>
        <w:ind w:firstLine="420" w:firstLineChars="200"/>
        <w:rPr>
          <w:rFonts w:hint="eastAsia" w:ascii="宋体" w:hAnsi="宋体" w:cs="宋体"/>
          <w:szCs w:val="21"/>
        </w:rPr>
      </w:pPr>
      <w:r>
        <w:rPr>
          <w:rFonts w:hint="eastAsia" w:ascii="宋体" w:hAnsi="宋体" w:cs="宋体"/>
          <w:szCs w:val="21"/>
        </w:rPr>
        <w:t>4.4.5投标单位被证明有妨碍其他人公平竞争、损害代理机构或者其他投标单位合法权益的；</w:t>
      </w:r>
    </w:p>
    <w:p w14:paraId="34B8B51E">
      <w:pPr>
        <w:spacing w:line="440" w:lineRule="exact"/>
        <w:ind w:firstLine="420" w:firstLineChars="200"/>
        <w:rPr>
          <w:rFonts w:hint="eastAsia" w:ascii="宋体" w:hAnsi="宋体" w:cs="宋体"/>
          <w:szCs w:val="21"/>
        </w:rPr>
      </w:pPr>
      <w:r>
        <w:rPr>
          <w:rFonts w:hint="eastAsia" w:ascii="宋体" w:hAnsi="宋体" w:cs="宋体"/>
          <w:szCs w:val="21"/>
        </w:rPr>
        <w:t>4.4.6法律法规认定的其他情形。</w:t>
      </w:r>
    </w:p>
    <w:p w14:paraId="2D090CDA">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5.履约保证金金额</w:t>
      </w:r>
    </w:p>
    <w:p w14:paraId="4F3ECF93">
      <w:pPr>
        <w:spacing w:line="440" w:lineRule="exact"/>
        <w:ind w:firstLine="420" w:firstLineChars="200"/>
        <w:rPr>
          <w:rFonts w:hint="eastAsia" w:ascii="宋体" w:hAnsi="宋体" w:cs="宋体"/>
          <w:szCs w:val="21"/>
        </w:rPr>
      </w:pPr>
      <w:r>
        <w:rPr>
          <w:rFonts w:hint="eastAsia" w:ascii="宋体" w:hAnsi="宋体" w:cs="宋体"/>
          <w:szCs w:val="21"/>
        </w:rPr>
        <w:t>5.1中标单位应按规定提交履约保证金。</w:t>
      </w:r>
    </w:p>
    <w:p w14:paraId="37AE2613">
      <w:pPr>
        <w:spacing w:line="440" w:lineRule="exact"/>
        <w:ind w:firstLine="420" w:firstLineChars="200"/>
        <w:rPr>
          <w:rFonts w:hint="eastAsia" w:ascii="宋体" w:hAnsi="宋体" w:cs="宋体"/>
          <w:szCs w:val="21"/>
        </w:rPr>
      </w:pPr>
      <w:r>
        <w:rPr>
          <w:rFonts w:hint="eastAsia" w:ascii="宋体" w:hAnsi="宋体" w:cs="宋体"/>
          <w:szCs w:val="21"/>
        </w:rPr>
        <w:t>5.2中标单位必须在合同签订前向采购人缴纳金额为中标合同价10%的履约保证金，也可自主选择以支票、汇票、本票、银行保函等非现金形式缴纳或提交。</w:t>
      </w:r>
    </w:p>
    <w:p w14:paraId="2EF7816B">
      <w:pPr>
        <w:spacing w:line="440" w:lineRule="exact"/>
        <w:ind w:firstLine="420" w:firstLineChars="200"/>
        <w:rPr>
          <w:rFonts w:hint="eastAsia" w:ascii="宋体" w:hAnsi="宋体" w:cs="宋体"/>
          <w:szCs w:val="21"/>
        </w:rPr>
      </w:pPr>
      <w:r>
        <w:rPr>
          <w:rFonts w:hint="eastAsia" w:ascii="宋体" w:hAnsi="宋体" w:cs="宋体"/>
          <w:szCs w:val="21"/>
        </w:rPr>
        <w:t>5.3履约保证金在合同履行结束后30日内无息返还。</w:t>
      </w:r>
    </w:p>
    <w:p w14:paraId="682CA987">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 xml:space="preserve">6.参加询价的供应商若认为询价函的资格要求和技术要求有倾向性或不公正性，可在 </w:t>
      </w:r>
      <w:r>
        <w:rPr>
          <w:rFonts w:hint="eastAsia" w:ascii="宋体" w:hAnsi="宋体" w:cs="宋体"/>
          <w:b/>
          <w:bCs/>
          <w:kern w:val="0"/>
          <w:szCs w:val="21"/>
        </w:rPr>
        <w:t>2026年0</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09</w:t>
      </w:r>
      <w:r>
        <w:rPr>
          <w:rFonts w:hint="eastAsia" w:ascii="宋体" w:hAnsi="宋体" w:cs="宋体"/>
          <w:b/>
          <w:bCs/>
          <w:kern w:val="0"/>
          <w:szCs w:val="21"/>
        </w:rPr>
        <w:t>日20：30之前以书面形式或邮件形式（994093050@qq.com）</w:t>
      </w:r>
      <w:r>
        <w:rPr>
          <w:rFonts w:hint="eastAsia" w:ascii="宋体" w:hAnsi="宋体" w:cs="宋体"/>
          <w:kern w:val="0"/>
          <w:szCs w:val="21"/>
        </w:rPr>
        <w:t>向我公司提出。对于没有提出澄清要求又参与了该项目的供应商将被视为完全认同该询价函，询价响应文件递交截止期后不再受理针对询价函的相关质疑和投诉。</w:t>
      </w:r>
    </w:p>
    <w:p w14:paraId="3DF04D04">
      <w:pPr>
        <w:overflowPunct w:val="0"/>
        <w:autoSpaceDE w:val="0"/>
        <w:autoSpaceDN w:val="0"/>
        <w:adjustRightInd w:val="0"/>
        <w:spacing w:line="440" w:lineRule="exact"/>
        <w:ind w:firstLine="422" w:firstLineChars="200"/>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lang w:eastAsia="zh-CN"/>
        </w:rPr>
        <w:t>成交</w:t>
      </w:r>
      <w:r>
        <w:rPr>
          <w:rFonts w:hint="eastAsia" w:hAnsi="宋体" w:cs="宋体"/>
          <w:b/>
          <w:bCs/>
          <w:color w:val="auto"/>
          <w:szCs w:val="21"/>
          <w:highlight w:val="none"/>
        </w:rPr>
        <w:t>候选人公示</w:t>
      </w:r>
      <w:r>
        <w:rPr>
          <w:rFonts w:hint="eastAsia" w:ascii="宋体" w:hAnsi="宋体" w:cs="宋体"/>
          <w:b/>
          <w:color w:val="auto"/>
          <w:kern w:val="0"/>
          <w:szCs w:val="21"/>
          <w:highlight w:val="none"/>
        </w:rPr>
        <w:t>及</w:t>
      </w:r>
      <w:r>
        <w:rPr>
          <w:rFonts w:hint="eastAsia" w:ascii="宋体" w:hAnsi="宋体" w:cs="宋体"/>
          <w:b/>
          <w:color w:val="auto"/>
          <w:kern w:val="0"/>
          <w:szCs w:val="21"/>
          <w:highlight w:val="none"/>
          <w:lang w:eastAsia="zh-CN"/>
        </w:rPr>
        <w:t>成交</w:t>
      </w:r>
      <w:r>
        <w:rPr>
          <w:rFonts w:hint="eastAsia" w:ascii="宋体" w:hAnsi="宋体" w:cs="宋体"/>
          <w:b/>
          <w:color w:val="auto"/>
          <w:kern w:val="0"/>
          <w:szCs w:val="21"/>
          <w:highlight w:val="none"/>
        </w:rPr>
        <w:t>结果</w:t>
      </w:r>
      <w:r>
        <w:rPr>
          <w:rFonts w:hint="eastAsia" w:ascii="宋体" w:hAnsi="宋体" w:cs="宋体"/>
          <w:b/>
          <w:color w:val="auto"/>
          <w:kern w:val="0"/>
          <w:szCs w:val="21"/>
          <w:highlight w:val="none"/>
          <w:lang w:val="en-US" w:eastAsia="zh-CN"/>
        </w:rPr>
        <w:t>公告</w:t>
      </w:r>
    </w:p>
    <w:p w14:paraId="2A769A35">
      <w:pPr>
        <w:overflowPunct w:val="0"/>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.1 代理机构将</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候选人公示及成交结果公告</w:t>
      </w:r>
      <w:r>
        <w:rPr>
          <w:rFonts w:hint="eastAsia" w:ascii="宋体" w:hAnsi="宋体" w:cs="宋体"/>
          <w:b/>
          <w:bCs/>
          <w:color w:val="auto"/>
          <w:kern w:val="0"/>
          <w:szCs w:val="21"/>
          <w:highlight w:val="none"/>
        </w:rPr>
        <w:t>在江苏恒卓工程管理咨询有限公司网、江苏省环保集团数字化采购平台（电子采购平台）、中国招标投标公共服务平台上予以公告。</w:t>
      </w:r>
    </w:p>
    <w:p w14:paraId="73FDCB1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.2若有充分证据证明，</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人出现下列情况之一的，一经查实，将被取消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资格：</w:t>
      </w:r>
    </w:p>
    <w:p w14:paraId="5B7878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.2.1提供虚假材料谋取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w:t>
      </w:r>
    </w:p>
    <w:p w14:paraId="001C9C11">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.2.2向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、代理机构行贿或者提供其他不正当利益的。</w:t>
      </w:r>
    </w:p>
    <w:p w14:paraId="764E949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.2.3属于本文件规定的无效条件，但在评标过程中又未被评委会发现的。</w:t>
      </w:r>
    </w:p>
    <w:p w14:paraId="57C577D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.2.4与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或者其他投标单位恶意串通的。</w:t>
      </w:r>
    </w:p>
    <w:p w14:paraId="664E3AA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.2.5采取不正当手段诋毁、排挤其他投标单位的。</w:t>
      </w:r>
    </w:p>
    <w:p w14:paraId="34F94CF6">
      <w:pPr>
        <w:overflowPunct w:val="0"/>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.2.6不符合法律、法规的规定的。</w:t>
      </w:r>
    </w:p>
    <w:p w14:paraId="190FD2B6">
      <w:pPr>
        <w:overflowPunct w:val="0"/>
        <w:autoSpaceDE w:val="0"/>
        <w:autoSpaceDN w:val="0"/>
        <w:adjustRightInd w:val="0"/>
        <w:spacing w:line="44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候选人</w:t>
      </w:r>
      <w:r>
        <w:rPr>
          <w:rFonts w:hint="eastAsia" w:ascii="宋体" w:hAnsi="宋体" w:cs="宋体"/>
          <w:color w:val="auto"/>
          <w:kern w:val="0"/>
          <w:szCs w:val="21"/>
          <w:highlight w:val="none"/>
        </w:rPr>
        <w:t>公示期满后发布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结果</w:t>
      </w:r>
      <w:r>
        <w:rPr>
          <w:rFonts w:hint="eastAsia" w:ascii="宋体" w:hAnsi="宋体" w:cs="宋体"/>
          <w:color w:val="auto"/>
          <w:kern w:val="0"/>
          <w:szCs w:val="21"/>
          <w:highlight w:val="none"/>
          <w:lang w:val="en-US" w:eastAsia="zh-CN"/>
        </w:rPr>
        <w:t>公告</w:t>
      </w:r>
      <w:r>
        <w:rPr>
          <w:rFonts w:hint="eastAsia" w:ascii="宋体" w:hAnsi="宋体" w:cs="宋体"/>
          <w:color w:val="auto"/>
          <w:kern w:val="0"/>
          <w:szCs w:val="21"/>
          <w:highlight w:val="none"/>
        </w:rPr>
        <w:t>。</w:t>
      </w:r>
    </w:p>
    <w:p w14:paraId="7D4D22D7">
      <w:pPr>
        <w:pStyle w:val="7"/>
        <w:overflowPunct w:val="0"/>
        <w:spacing w:line="400" w:lineRule="exact"/>
        <w:ind w:firstLine="422" w:firstLineChars="200"/>
        <w:rPr>
          <w:rFonts w:hint="eastAsia" w:hAnsi="宋体" w:cs="宋体"/>
          <w:b/>
          <w:sz w:val="21"/>
          <w:szCs w:val="21"/>
        </w:rPr>
      </w:pPr>
      <w:r>
        <w:rPr>
          <w:rFonts w:hint="eastAsia" w:hAnsi="宋体" w:cs="宋体"/>
          <w:b/>
          <w:sz w:val="21"/>
          <w:szCs w:val="21"/>
          <w:lang w:val="en-US" w:eastAsia="zh-CN"/>
        </w:rPr>
        <w:t>8.</w:t>
      </w:r>
      <w:r>
        <w:rPr>
          <w:rFonts w:hint="eastAsia" w:hAnsi="宋体" w:cs="宋体"/>
          <w:b/>
          <w:sz w:val="21"/>
          <w:szCs w:val="21"/>
        </w:rPr>
        <w:t>异议</w:t>
      </w:r>
    </w:p>
    <w:p w14:paraId="1F486011">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.1 </w:t>
      </w:r>
      <w:r>
        <w:rPr>
          <w:rFonts w:hint="eastAsia" w:hAnsi="宋体" w:cs="宋体"/>
          <w:bCs/>
          <w:sz w:val="21"/>
          <w:szCs w:val="21"/>
          <w:lang w:eastAsia="zh-CN"/>
        </w:rPr>
        <w:t>竞标人</w:t>
      </w:r>
      <w:r>
        <w:rPr>
          <w:rFonts w:hint="eastAsia" w:hAnsi="宋体" w:cs="宋体"/>
          <w:bCs/>
          <w:sz w:val="21"/>
          <w:szCs w:val="21"/>
        </w:rPr>
        <w:t>或者其他利害关系人对</w:t>
      </w:r>
      <w:r>
        <w:rPr>
          <w:rFonts w:hint="eastAsia" w:hAnsi="宋体" w:cs="宋体"/>
          <w:bCs/>
          <w:sz w:val="21"/>
          <w:szCs w:val="21"/>
          <w:lang w:eastAsia="zh-CN"/>
        </w:rPr>
        <w:t>询价文件</w:t>
      </w:r>
      <w:r>
        <w:rPr>
          <w:rFonts w:hint="eastAsia" w:hAnsi="宋体" w:cs="宋体"/>
          <w:bCs/>
          <w:sz w:val="21"/>
          <w:szCs w:val="21"/>
        </w:rPr>
        <w:t>有异议的，应在公告规定的时间前提出。</w:t>
      </w:r>
      <w:r>
        <w:rPr>
          <w:rFonts w:hint="eastAsia" w:hAnsi="宋体" w:cs="宋体"/>
          <w:bCs/>
          <w:sz w:val="21"/>
          <w:szCs w:val="21"/>
          <w:lang w:eastAsia="zh-CN"/>
        </w:rPr>
        <w:t>采购人</w:t>
      </w:r>
      <w:r>
        <w:rPr>
          <w:rFonts w:hint="eastAsia" w:hAnsi="宋体" w:cs="宋体"/>
          <w:bCs/>
          <w:sz w:val="21"/>
          <w:szCs w:val="21"/>
        </w:rPr>
        <w:t>应当自收到异议之日起3日内作出答复；作出答复前，应当暂停招标投标活动。</w:t>
      </w:r>
    </w:p>
    <w:p w14:paraId="08ADBC72">
      <w:pPr>
        <w:pStyle w:val="7"/>
        <w:overflowPunct w:val="0"/>
        <w:spacing w:line="400" w:lineRule="exact"/>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.2 </w:t>
      </w:r>
      <w:r>
        <w:rPr>
          <w:rFonts w:hint="eastAsia" w:hAnsi="宋体" w:cs="宋体"/>
          <w:bCs/>
          <w:sz w:val="21"/>
          <w:szCs w:val="21"/>
          <w:lang w:eastAsia="zh-CN"/>
        </w:rPr>
        <w:t>竞标人</w:t>
      </w:r>
      <w:r>
        <w:rPr>
          <w:rFonts w:hint="eastAsia" w:hAnsi="宋体" w:cs="宋体"/>
          <w:bCs/>
          <w:sz w:val="21"/>
          <w:szCs w:val="21"/>
        </w:rPr>
        <w:t>对开标有异议的，应当在开标现场提出，</w:t>
      </w:r>
      <w:r>
        <w:rPr>
          <w:rFonts w:hint="eastAsia" w:hAnsi="宋体" w:cs="宋体"/>
          <w:bCs/>
          <w:sz w:val="21"/>
          <w:szCs w:val="21"/>
          <w:lang w:eastAsia="zh-CN"/>
        </w:rPr>
        <w:t>采购人</w:t>
      </w:r>
      <w:r>
        <w:rPr>
          <w:rFonts w:hint="eastAsia" w:hAnsi="宋体" w:cs="宋体"/>
          <w:bCs/>
          <w:sz w:val="21"/>
          <w:szCs w:val="21"/>
        </w:rPr>
        <w:t>应当当场作出答复，并制作记录。</w:t>
      </w:r>
    </w:p>
    <w:p w14:paraId="7F32F13D">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.4 </w:t>
      </w:r>
      <w:r>
        <w:rPr>
          <w:rFonts w:hint="eastAsia" w:hAnsi="宋体" w:cs="宋体"/>
          <w:bCs/>
          <w:sz w:val="21"/>
          <w:szCs w:val="21"/>
          <w:lang w:eastAsia="zh-CN"/>
        </w:rPr>
        <w:t>竞标人</w:t>
      </w:r>
      <w:r>
        <w:rPr>
          <w:rFonts w:hint="eastAsia" w:hAnsi="宋体" w:cs="宋体"/>
          <w:bCs/>
          <w:sz w:val="21"/>
          <w:szCs w:val="21"/>
        </w:rPr>
        <w:t>提出书面异议必须有理、有据，不得恶意异议或提交虚假异议。否则，一经查实，代理机构有权依据有关规定，报请招标监管部门对该</w:t>
      </w:r>
      <w:r>
        <w:rPr>
          <w:rFonts w:hint="eastAsia" w:hAnsi="宋体" w:cs="宋体"/>
          <w:bCs/>
          <w:sz w:val="21"/>
          <w:szCs w:val="21"/>
          <w:lang w:eastAsia="zh-CN"/>
        </w:rPr>
        <w:t>竞标人</w:t>
      </w:r>
      <w:r>
        <w:rPr>
          <w:rFonts w:hint="eastAsia" w:hAnsi="宋体" w:cs="宋体"/>
          <w:bCs/>
          <w:sz w:val="21"/>
          <w:szCs w:val="21"/>
        </w:rPr>
        <w:t>进行相应的处罚。</w:t>
      </w:r>
    </w:p>
    <w:p w14:paraId="31EC6133">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.5 未参加投标活动的</w:t>
      </w:r>
      <w:r>
        <w:rPr>
          <w:rFonts w:hint="eastAsia" w:hAnsi="宋体" w:cs="宋体"/>
          <w:bCs/>
          <w:sz w:val="21"/>
          <w:szCs w:val="21"/>
          <w:lang w:eastAsia="zh-CN"/>
        </w:rPr>
        <w:t>竞标人</w:t>
      </w:r>
      <w:r>
        <w:rPr>
          <w:rFonts w:hint="eastAsia" w:hAnsi="宋体" w:cs="宋体"/>
          <w:bCs/>
          <w:sz w:val="21"/>
          <w:szCs w:val="21"/>
        </w:rPr>
        <w:t>或在投标活动中自身权益未受到损害的</w:t>
      </w:r>
      <w:r>
        <w:rPr>
          <w:rFonts w:hint="eastAsia" w:hAnsi="宋体" w:cs="宋体"/>
          <w:bCs/>
          <w:sz w:val="21"/>
          <w:szCs w:val="21"/>
          <w:lang w:eastAsia="zh-CN"/>
        </w:rPr>
        <w:t>竞标人</w:t>
      </w:r>
      <w:r>
        <w:rPr>
          <w:rFonts w:hint="eastAsia" w:hAnsi="宋体" w:cs="宋体"/>
          <w:bCs/>
          <w:sz w:val="21"/>
          <w:szCs w:val="21"/>
        </w:rPr>
        <w:t>所提出的异议不予受理。</w:t>
      </w:r>
    </w:p>
    <w:p w14:paraId="4F360BA4">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.6 </w:t>
      </w:r>
      <w:r>
        <w:rPr>
          <w:rFonts w:hint="eastAsia" w:ascii="宋体" w:hAnsi="宋体" w:eastAsia="宋体" w:cs="宋体"/>
          <w:bCs/>
          <w:i w:val="0"/>
          <w:iCs w:val="0"/>
          <w:caps w:val="0"/>
          <w:color w:val="auto"/>
          <w:spacing w:val="0"/>
          <w:sz w:val="21"/>
          <w:szCs w:val="21"/>
          <w:shd w:val="clear" w:fill="auto"/>
        </w:rPr>
        <w:t>成交候选人</w:t>
      </w:r>
      <w:r>
        <w:rPr>
          <w:rFonts w:hint="eastAsia" w:ascii="宋体" w:hAnsi="宋体" w:eastAsia="宋体" w:cs="宋体"/>
          <w:bCs/>
          <w:i w:val="0"/>
          <w:iCs w:val="0"/>
          <w:caps w:val="0"/>
          <w:spacing w:val="0"/>
          <w:sz w:val="21"/>
          <w:szCs w:val="21"/>
          <w:shd w:val="clear"/>
          <w:lang w:val="en-US" w:eastAsia="zh-CN"/>
        </w:rPr>
        <w:t>公示</w:t>
      </w:r>
      <w:r>
        <w:rPr>
          <w:rFonts w:hint="eastAsia" w:ascii="宋体" w:hAnsi="宋体" w:eastAsia="宋体" w:cs="宋体"/>
          <w:bCs/>
          <w:i w:val="0"/>
          <w:iCs w:val="0"/>
          <w:caps w:val="0"/>
          <w:color w:val="auto"/>
          <w:spacing w:val="0"/>
          <w:sz w:val="21"/>
          <w:szCs w:val="21"/>
          <w:shd w:val="clear" w:fill="auto"/>
        </w:rPr>
        <w:t>将在江苏恒卓工程管理咨询有限公司官网、江苏省环保集团数字化采购平台及中国招标投标公共服务平台同步公示，公示期为3个日历天。公示期内，参与本项目的</w:t>
      </w:r>
      <w:r>
        <w:rPr>
          <w:rFonts w:hint="eastAsia" w:ascii="宋体" w:hAnsi="宋体" w:eastAsia="宋体" w:cs="宋体"/>
          <w:bCs/>
          <w:i w:val="0"/>
          <w:iCs w:val="0"/>
          <w:caps w:val="0"/>
          <w:spacing w:val="0"/>
          <w:sz w:val="21"/>
          <w:szCs w:val="21"/>
          <w:shd w:val="clear"/>
          <w:lang w:val="en-US" w:eastAsia="zh-CN"/>
        </w:rPr>
        <w:t>竞标人</w:t>
      </w:r>
      <w:r>
        <w:rPr>
          <w:rFonts w:hint="eastAsia" w:ascii="宋体" w:hAnsi="宋体" w:eastAsia="宋体" w:cs="宋体"/>
          <w:bCs/>
          <w:i w:val="0"/>
          <w:iCs w:val="0"/>
          <w:caps w:val="0"/>
          <w:color w:val="auto"/>
          <w:spacing w:val="0"/>
          <w:sz w:val="21"/>
          <w:szCs w:val="21"/>
          <w:shd w:val="clear" w:fill="auto"/>
        </w:rPr>
        <w:t>可依法提出异议。若因有效异议导致成交结果被依法变更或取消，代理机构不承担由此对原成交候选人产生的任何责任。逾期提出的异议将不予受理。</w:t>
      </w:r>
    </w:p>
    <w:p w14:paraId="31EFF4E5">
      <w:pPr>
        <w:overflowPunct w:val="0"/>
        <w:autoSpaceDE w:val="0"/>
        <w:autoSpaceDN w:val="0"/>
        <w:adjustRightInd w:val="0"/>
        <w:spacing w:line="440" w:lineRule="exact"/>
        <w:ind w:firstLine="422" w:firstLineChars="200"/>
        <w:rPr>
          <w:rFonts w:hint="eastAsia" w:ascii="宋体" w:hAnsi="宋体" w:eastAsia="宋体" w:cs="宋体"/>
          <w:b/>
          <w:kern w:val="0"/>
          <w:szCs w:val="21"/>
          <w:lang w:eastAsia="zh-CN"/>
        </w:rPr>
      </w:pPr>
      <w:r>
        <w:rPr>
          <w:rFonts w:hint="eastAsia" w:ascii="宋体" w:hAnsi="宋体" w:cs="宋体"/>
          <w:b/>
          <w:kern w:val="0"/>
          <w:szCs w:val="21"/>
          <w:lang w:val="en-US" w:eastAsia="zh-CN"/>
        </w:rPr>
        <w:t>9.</w:t>
      </w:r>
      <w:r>
        <w:rPr>
          <w:rFonts w:hint="eastAsia" w:ascii="宋体" w:hAnsi="宋体" w:cs="宋体"/>
          <w:b/>
          <w:kern w:val="0"/>
          <w:szCs w:val="21"/>
          <w:lang w:eastAsia="zh-CN"/>
        </w:rPr>
        <w:t>中标（成交）通知书</w:t>
      </w:r>
    </w:p>
    <w:p w14:paraId="11CD5AB5">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.1 </w:t>
      </w:r>
      <w:r>
        <w:rPr>
          <w:rFonts w:hint="eastAsia" w:ascii="宋体" w:hAnsi="宋体" w:cs="宋体"/>
          <w:kern w:val="0"/>
          <w:szCs w:val="21"/>
          <w:lang w:eastAsia="zh-CN"/>
        </w:rPr>
        <w:t>成交结果</w:t>
      </w:r>
      <w:r>
        <w:rPr>
          <w:rFonts w:hint="eastAsia" w:ascii="宋体" w:hAnsi="宋体" w:cs="宋体"/>
          <w:kern w:val="0"/>
          <w:szCs w:val="21"/>
        </w:rPr>
        <w:t>确定后，代理机构将向</w:t>
      </w:r>
      <w:r>
        <w:rPr>
          <w:rFonts w:hint="eastAsia" w:ascii="宋体" w:hAnsi="宋体" w:cs="宋体"/>
          <w:kern w:val="0"/>
          <w:szCs w:val="21"/>
          <w:lang w:eastAsia="zh-CN"/>
        </w:rPr>
        <w:t>成交单位</w:t>
      </w:r>
      <w:r>
        <w:rPr>
          <w:rFonts w:hint="eastAsia" w:ascii="宋体" w:hAnsi="宋体" w:cs="宋体"/>
          <w:kern w:val="0"/>
          <w:szCs w:val="21"/>
        </w:rPr>
        <w:t>发出</w:t>
      </w:r>
      <w:r>
        <w:rPr>
          <w:rFonts w:hint="eastAsia" w:ascii="宋体" w:hAnsi="宋体" w:cs="宋体"/>
          <w:kern w:val="0"/>
          <w:szCs w:val="21"/>
          <w:lang w:eastAsia="zh-CN"/>
        </w:rPr>
        <w:t>中标（成交）通知书</w:t>
      </w:r>
      <w:r>
        <w:rPr>
          <w:rFonts w:hint="eastAsia" w:ascii="宋体" w:hAnsi="宋体" w:cs="宋体"/>
          <w:kern w:val="0"/>
          <w:szCs w:val="21"/>
        </w:rPr>
        <w:t>。</w:t>
      </w:r>
    </w:p>
    <w:p w14:paraId="7AE9166D">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.2 </w:t>
      </w:r>
      <w:r>
        <w:rPr>
          <w:rFonts w:hint="eastAsia" w:ascii="宋体" w:hAnsi="宋体" w:cs="宋体"/>
          <w:kern w:val="0"/>
          <w:szCs w:val="21"/>
          <w:lang w:eastAsia="zh-CN"/>
        </w:rPr>
        <w:t>中标（成交）通知书</w:t>
      </w:r>
      <w:r>
        <w:rPr>
          <w:rFonts w:hint="eastAsia" w:ascii="宋体" w:hAnsi="宋体" w:cs="宋体"/>
          <w:kern w:val="0"/>
          <w:szCs w:val="21"/>
        </w:rPr>
        <w:t>对</w:t>
      </w:r>
      <w:r>
        <w:rPr>
          <w:rFonts w:hint="eastAsia" w:ascii="宋体" w:hAnsi="宋体" w:cs="宋体"/>
          <w:kern w:val="0"/>
          <w:szCs w:val="21"/>
          <w:lang w:eastAsia="zh-CN"/>
        </w:rPr>
        <w:t>采购人</w:t>
      </w:r>
      <w:r>
        <w:rPr>
          <w:rFonts w:hint="eastAsia" w:ascii="宋体" w:hAnsi="宋体" w:cs="宋体"/>
          <w:kern w:val="0"/>
          <w:szCs w:val="21"/>
        </w:rPr>
        <w:t>和</w:t>
      </w:r>
      <w:r>
        <w:rPr>
          <w:rFonts w:hint="eastAsia" w:ascii="宋体" w:hAnsi="宋体" w:cs="宋体"/>
          <w:kern w:val="0"/>
          <w:szCs w:val="21"/>
          <w:lang w:eastAsia="zh-CN"/>
        </w:rPr>
        <w:t>成交单位</w:t>
      </w:r>
      <w:r>
        <w:rPr>
          <w:rFonts w:hint="eastAsia" w:ascii="宋体" w:hAnsi="宋体" w:cs="宋体"/>
          <w:kern w:val="0"/>
          <w:szCs w:val="21"/>
        </w:rPr>
        <w:t>具有法律约束力。</w:t>
      </w:r>
      <w:r>
        <w:rPr>
          <w:rFonts w:hint="eastAsia" w:ascii="宋体" w:hAnsi="宋体" w:cs="宋体"/>
          <w:kern w:val="0"/>
          <w:szCs w:val="21"/>
          <w:lang w:eastAsia="zh-CN"/>
        </w:rPr>
        <w:t>中标（成交）通知书</w:t>
      </w:r>
      <w:r>
        <w:rPr>
          <w:rFonts w:hint="eastAsia" w:ascii="宋体" w:hAnsi="宋体" w:cs="宋体"/>
          <w:kern w:val="0"/>
          <w:szCs w:val="21"/>
        </w:rPr>
        <w:t>发出后，</w:t>
      </w:r>
      <w:r>
        <w:rPr>
          <w:rFonts w:hint="eastAsia" w:ascii="宋体" w:hAnsi="宋体" w:cs="宋体"/>
          <w:kern w:val="0"/>
          <w:szCs w:val="21"/>
          <w:lang w:eastAsia="zh-CN"/>
        </w:rPr>
        <w:t>采购人</w:t>
      </w:r>
      <w:r>
        <w:rPr>
          <w:rFonts w:hint="eastAsia" w:ascii="宋体" w:hAnsi="宋体" w:cs="宋体"/>
          <w:kern w:val="0"/>
          <w:szCs w:val="21"/>
        </w:rPr>
        <w:t>改变</w:t>
      </w:r>
      <w:r>
        <w:rPr>
          <w:rFonts w:hint="eastAsia" w:ascii="宋体" w:hAnsi="宋体" w:cs="宋体"/>
          <w:kern w:val="0"/>
          <w:szCs w:val="21"/>
          <w:lang w:eastAsia="zh-CN"/>
        </w:rPr>
        <w:t>成交结果</w:t>
      </w:r>
      <w:r>
        <w:rPr>
          <w:rFonts w:hint="eastAsia" w:ascii="宋体" w:hAnsi="宋体" w:cs="宋体"/>
          <w:kern w:val="0"/>
          <w:szCs w:val="21"/>
        </w:rPr>
        <w:t>或者</w:t>
      </w:r>
      <w:r>
        <w:rPr>
          <w:rFonts w:hint="eastAsia" w:ascii="宋体" w:hAnsi="宋体" w:cs="宋体"/>
          <w:kern w:val="0"/>
          <w:szCs w:val="21"/>
          <w:lang w:eastAsia="zh-CN"/>
        </w:rPr>
        <w:t>成交单位</w:t>
      </w:r>
      <w:r>
        <w:rPr>
          <w:rFonts w:hint="eastAsia" w:ascii="宋体" w:hAnsi="宋体" w:cs="宋体"/>
          <w:kern w:val="0"/>
          <w:szCs w:val="21"/>
        </w:rPr>
        <w:t>放弃中标，均应当承担相应的法律责任，且不影响中标服务费的支付。</w:t>
      </w:r>
    </w:p>
    <w:p w14:paraId="0F9CF149">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.3 代理机构及</w:t>
      </w:r>
      <w:r>
        <w:rPr>
          <w:rFonts w:hint="eastAsia" w:ascii="宋体" w:hAnsi="宋体" w:cs="宋体"/>
          <w:kern w:val="0"/>
          <w:szCs w:val="21"/>
          <w:lang w:eastAsia="zh-CN"/>
        </w:rPr>
        <w:t>采购人</w:t>
      </w:r>
      <w:r>
        <w:rPr>
          <w:rFonts w:hint="eastAsia" w:ascii="宋体" w:hAnsi="宋体" w:cs="宋体"/>
          <w:kern w:val="0"/>
          <w:szCs w:val="21"/>
        </w:rPr>
        <w:t>对未</w:t>
      </w:r>
      <w:r>
        <w:rPr>
          <w:rFonts w:hint="eastAsia" w:ascii="宋体" w:hAnsi="宋体" w:cs="宋体"/>
          <w:kern w:val="0"/>
          <w:szCs w:val="21"/>
          <w:lang w:val="en-US" w:eastAsia="zh-CN"/>
        </w:rPr>
        <w:t>成交</w:t>
      </w:r>
      <w:r>
        <w:rPr>
          <w:rFonts w:hint="eastAsia" w:ascii="宋体" w:hAnsi="宋体" w:cs="宋体"/>
          <w:kern w:val="0"/>
          <w:szCs w:val="21"/>
        </w:rPr>
        <w:t>单位不承担解释未中标原因的义务。</w:t>
      </w:r>
    </w:p>
    <w:p w14:paraId="1470A113">
      <w:pPr>
        <w:spacing w:line="46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213F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3FE00123">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1"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qwdHUAAAA&#10;CAEAAA8AAAAAAAAAAQAgAAAAIgAAAGRycy9kb3ducmV2LnhtbFBLAQIUABQAAAAIAIdO4kAtUOsh&#10;6AEAAPYDAAAOAAAAAAAAAAEAIAAAACM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-4445</wp:posOffset>
                      </wp:positionV>
                      <wp:extent cx="635" cy="0"/>
                      <wp:effectExtent l="0" t="0" r="0" b="0"/>
                      <wp:wrapNone/>
                      <wp:docPr id="2"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0288;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IXm55j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F1J4cHzhj8aj+LQs0oyRWo6499t09ihu&#10;U+F57JMrf2YgjlXO00VOPGahePP241IK9bLf/EmKifI3DE4Uo5OWC1bx4PBImQtx6EtIqWG9GDv5&#10;ZbkocMAj1/NVs+kit01+X3MpWKMfjLUlg9J+d2+TOEC59voVOoz7V1gpsgEaprh6NA3EgKC/ei3y&#10;KbIgnt+BLC041FJY5GdTLAaENoOx10RyaetLAtahPPMs+k6KFmsX9KkK3RSPL7x2fB7OMlGvfbZf&#10;P8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CF5ueY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0F986E24">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65C6070F">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3"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1312;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7vf7PVAAAA&#10;CgEAAA8AAAAAAAAAAQAgAAAAIgAAAGRycy9kb3ducmV2LnhtbFBLAQIUABQAAAAIAIdO4kAW00Zf&#10;5wEAAPU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w:t>　   类</w:t>
            </w:r>
          </w:p>
          <w:p w14:paraId="7909BC30">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0585734E">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6BA5202B">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38D01199">
            <w:pPr>
              <w:spacing w:line="460" w:lineRule="exact"/>
              <w:jc w:val="center"/>
              <w:rPr>
                <w:rFonts w:hint="eastAsia" w:ascii="宋体" w:hAnsi="宋体" w:cs="宋体"/>
                <w:bCs/>
                <w:szCs w:val="21"/>
              </w:rPr>
            </w:pPr>
            <w:r>
              <w:rPr>
                <w:rFonts w:hint="eastAsia" w:ascii="宋体" w:hAnsi="宋体" w:cs="宋体"/>
                <w:bCs/>
                <w:szCs w:val="21"/>
              </w:rPr>
              <w:t>货物招标</w:t>
            </w:r>
          </w:p>
        </w:tc>
      </w:tr>
      <w:tr w14:paraId="115C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2EF514DF">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0B2E7C1E">
            <w:pPr>
              <w:spacing w:line="460" w:lineRule="exact"/>
              <w:jc w:val="center"/>
              <w:rPr>
                <w:rFonts w:hint="eastAsia" w:ascii="宋体" w:hAnsi="宋体" w:cs="宋体"/>
                <w:szCs w:val="21"/>
              </w:rPr>
            </w:pPr>
            <w:r>
              <w:rPr>
                <w:rFonts w:hint="eastAsia" w:ascii="宋体" w:hAnsi="宋体" w:cs="宋体"/>
                <w:szCs w:val="21"/>
              </w:rPr>
              <w:t>1.5%</w:t>
            </w:r>
          </w:p>
        </w:tc>
      </w:tr>
      <w:tr w14:paraId="0BD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1A4AA0A1">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3C00F563">
            <w:pPr>
              <w:spacing w:line="460" w:lineRule="exact"/>
              <w:jc w:val="center"/>
              <w:rPr>
                <w:rFonts w:hint="eastAsia" w:ascii="宋体" w:hAnsi="宋体" w:cs="宋体"/>
                <w:szCs w:val="21"/>
              </w:rPr>
            </w:pPr>
            <w:r>
              <w:rPr>
                <w:rFonts w:hint="eastAsia" w:ascii="宋体" w:hAnsi="宋体" w:cs="宋体"/>
                <w:szCs w:val="21"/>
              </w:rPr>
              <w:t>1.1%</w:t>
            </w:r>
          </w:p>
        </w:tc>
      </w:tr>
      <w:tr w14:paraId="1F93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2E3450BB">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2809EB47">
            <w:pPr>
              <w:spacing w:line="460" w:lineRule="exact"/>
              <w:jc w:val="center"/>
              <w:rPr>
                <w:rFonts w:hint="eastAsia" w:ascii="宋体" w:hAnsi="宋体" w:cs="宋体"/>
                <w:szCs w:val="21"/>
              </w:rPr>
            </w:pPr>
            <w:r>
              <w:rPr>
                <w:rFonts w:hint="eastAsia" w:ascii="宋体" w:hAnsi="宋体" w:cs="宋体"/>
                <w:szCs w:val="21"/>
              </w:rPr>
              <w:t>0.8%</w:t>
            </w:r>
          </w:p>
        </w:tc>
      </w:tr>
      <w:tr w14:paraId="2DF7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05E02BE6">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0400CE4E">
            <w:pPr>
              <w:spacing w:line="460" w:lineRule="exact"/>
              <w:jc w:val="center"/>
              <w:rPr>
                <w:rFonts w:hint="eastAsia" w:ascii="宋体" w:hAnsi="宋体" w:cs="宋体"/>
                <w:szCs w:val="21"/>
              </w:rPr>
            </w:pPr>
            <w:r>
              <w:rPr>
                <w:rFonts w:hint="eastAsia" w:ascii="宋体" w:hAnsi="宋体" w:cs="宋体"/>
                <w:szCs w:val="21"/>
              </w:rPr>
              <w:t>……</w:t>
            </w:r>
          </w:p>
        </w:tc>
      </w:tr>
    </w:tbl>
    <w:p w14:paraId="483EC67D">
      <w:pPr>
        <w:spacing w:line="440" w:lineRule="exact"/>
        <w:ind w:firstLine="422" w:firstLineChars="200"/>
        <w:rPr>
          <w:rFonts w:hint="eastAsia" w:ascii="宋体" w:hAnsi="宋体" w:cs="宋体"/>
          <w:b/>
          <w:szCs w:val="21"/>
        </w:rPr>
      </w:pPr>
      <w:r>
        <w:rPr>
          <w:rFonts w:hint="eastAsia" w:ascii="宋体" w:hAnsi="宋体" w:cs="宋体"/>
          <w:b/>
          <w:szCs w:val="21"/>
          <w:lang w:val="en-US" w:eastAsia="zh-CN"/>
        </w:rPr>
        <w:t>11.</w:t>
      </w:r>
      <w:r>
        <w:rPr>
          <w:rFonts w:hint="eastAsia" w:ascii="宋体" w:hAnsi="宋体" w:cs="宋体"/>
          <w:b/>
          <w:szCs w:val="21"/>
        </w:rPr>
        <w:t>合同的签订</w:t>
      </w:r>
    </w:p>
    <w:p w14:paraId="0698A523">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.1</w:t>
      </w:r>
      <w:r>
        <w:rPr>
          <w:rFonts w:hint="eastAsia" w:ascii="宋体" w:hAnsi="宋体" w:cs="宋体"/>
          <w:szCs w:val="21"/>
          <w:lang w:eastAsia="zh-CN"/>
        </w:rPr>
        <w:t>成交单位</w:t>
      </w:r>
      <w:r>
        <w:rPr>
          <w:rFonts w:hint="eastAsia" w:ascii="宋体" w:hAnsi="宋体" w:cs="宋体"/>
          <w:szCs w:val="21"/>
        </w:rPr>
        <w:t>应按</w:t>
      </w:r>
      <w:r>
        <w:rPr>
          <w:rFonts w:hint="eastAsia" w:ascii="宋体" w:hAnsi="宋体" w:cs="宋体"/>
          <w:szCs w:val="21"/>
          <w:lang w:eastAsia="zh-CN"/>
        </w:rPr>
        <w:t>中标（成交）通知书</w:t>
      </w:r>
      <w:r>
        <w:rPr>
          <w:rFonts w:hint="eastAsia" w:ascii="宋体" w:hAnsi="宋体" w:cs="宋体"/>
          <w:szCs w:val="21"/>
        </w:rPr>
        <w:t>规定的时间、地点,按照</w:t>
      </w:r>
      <w:r>
        <w:rPr>
          <w:rFonts w:hint="eastAsia" w:ascii="宋体" w:hAnsi="宋体" w:cs="宋体"/>
          <w:szCs w:val="21"/>
          <w:lang w:eastAsia="zh-CN"/>
        </w:rPr>
        <w:t>询价文件</w:t>
      </w:r>
      <w:r>
        <w:rPr>
          <w:rFonts w:hint="eastAsia" w:ascii="宋体" w:hAnsi="宋体" w:cs="宋体"/>
          <w:szCs w:val="21"/>
        </w:rPr>
        <w:t>确定的事项与</w:t>
      </w:r>
      <w:r>
        <w:rPr>
          <w:rFonts w:hint="eastAsia" w:ascii="宋体" w:hAnsi="宋体" w:cs="宋体"/>
          <w:szCs w:val="21"/>
          <w:lang w:eastAsia="zh-CN"/>
        </w:rPr>
        <w:t>采购人</w:t>
      </w:r>
      <w:r>
        <w:rPr>
          <w:rFonts w:hint="eastAsia" w:ascii="宋体" w:hAnsi="宋体" w:cs="宋体"/>
          <w:szCs w:val="21"/>
        </w:rPr>
        <w:t>签订采购合同，且不得迟于</w:t>
      </w:r>
      <w:r>
        <w:rPr>
          <w:rFonts w:hint="eastAsia" w:ascii="宋体" w:hAnsi="宋体" w:cs="宋体"/>
          <w:szCs w:val="21"/>
          <w:lang w:eastAsia="zh-CN"/>
        </w:rPr>
        <w:t>中标（成交）通知书</w:t>
      </w:r>
      <w:r>
        <w:rPr>
          <w:rFonts w:hint="eastAsia" w:ascii="宋体" w:hAnsi="宋体" w:cs="宋体"/>
          <w:szCs w:val="21"/>
        </w:rPr>
        <w:t>发出之日起</w:t>
      </w:r>
      <w:r>
        <w:rPr>
          <w:rFonts w:hint="eastAsia" w:ascii="宋体" w:hAnsi="宋体" w:cs="宋体"/>
          <w:b/>
          <w:bCs/>
          <w:szCs w:val="21"/>
        </w:rPr>
        <w:t>三十日内</w:t>
      </w:r>
      <w:r>
        <w:rPr>
          <w:rFonts w:hint="eastAsia" w:ascii="宋体" w:hAnsi="宋体" w:cs="宋体"/>
          <w:szCs w:val="21"/>
        </w:rPr>
        <w:t>，由此给</w:t>
      </w:r>
      <w:r>
        <w:rPr>
          <w:rFonts w:hint="eastAsia" w:ascii="宋体" w:hAnsi="宋体" w:cs="宋体"/>
          <w:szCs w:val="21"/>
          <w:lang w:eastAsia="zh-CN"/>
        </w:rPr>
        <w:t>采购人</w:t>
      </w:r>
      <w:r>
        <w:rPr>
          <w:rFonts w:hint="eastAsia" w:ascii="宋体" w:hAnsi="宋体" w:cs="宋体"/>
          <w:szCs w:val="21"/>
        </w:rPr>
        <w:t>造成损失的，</w:t>
      </w:r>
      <w:r>
        <w:rPr>
          <w:rFonts w:hint="eastAsia" w:ascii="宋体" w:hAnsi="宋体" w:cs="宋体"/>
          <w:szCs w:val="21"/>
          <w:lang w:val="en-US" w:eastAsia="zh-CN"/>
        </w:rPr>
        <w:t>成交单位</w:t>
      </w:r>
      <w:r>
        <w:rPr>
          <w:rFonts w:hint="eastAsia" w:ascii="宋体" w:hAnsi="宋体" w:cs="宋体"/>
          <w:szCs w:val="21"/>
        </w:rPr>
        <w:t>还应承担赔偿责任。</w:t>
      </w:r>
    </w:p>
    <w:p w14:paraId="22AFEBC2">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.2</w:t>
      </w:r>
      <w:r>
        <w:rPr>
          <w:rFonts w:hint="eastAsia" w:ascii="宋体" w:hAnsi="宋体" w:cs="宋体"/>
          <w:szCs w:val="21"/>
          <w:lang w:eastAsia="zh-CN"/>
        </w:rPr>
        <w:t>询价文件</w:t>
      </w:r>
      <w:r>
        <w:rPr>
          <w:rFonts w:hint="eastAsia" w:ascii="宋体" w:hAnsi="宋体" w:cs="宋体"/>
          <w:szCs w:val="21"/>
        </w:rPr>
        <w:t>、</w:t>
      </w:r>
      <w:r>
        <w:rPr>
          <w:rFonts w:hint="eastAsia" w:ascii="宋体" w:hAnsi="宋体" w:cs="宋体"/>
          <w:szCs w:val="21"/>
          <w:lang w:eastAsia="zh-CN"/>
        </w:rPr>
        <w:t>成交单位</w:t>
      </w:r>
      <w:r>
        <w:rPr>
          <w:rFonts w:hint="eastAsia" w:ascii="宋体" w:hAnsi="宋体" w:cs="宋体"/>
          <w:szCs w:val="21"/>
        </w:rPr>
        <w:t>的投标文件及招标过程中有关澄清、承诺文件均应作为合同附件。</w:t>
      </w:r>
    </w:p>
    <w:p w14:paraId="5F9F1EE5">
      <w:pPr>
        <w:spacing w:line="440" w:lineRule="exact"/>
        <w:ind w:firstLine="420" w:firstLineChars="200"/>
        <w:rPr>
          <w:rFonts w:hint="eastAsia" w:ascii="宋体" w:hAnsi="宋体" w:cs="宋体"/>
          <w:szCs w:val="21"/>
        </w:rPr>
      </w:pPr>
      <w:r>
        <w:rPr>
          <w:rFonts w:hint="eastAsia" w:ascii="宋体" w:hAnsi="宋体" w:cs="宋体"/>
          <w:szCs w:val="21"/>
          <w:lang w:val="en-US" w:eastAsia="zh-CN"/>
        </w:rPr>
        <w:t>11.3</w:t>
      </w:r>
      <w:r>
        <w:rPr>
          <w:rFonts w:hint="eastAsia" w:ascii="宋体" w:hAnsi="宋体" w:cs="宋体"/>
          <w:szCs w:val="21"/>
        </w:rPr>
        <w:t>签订合同后，</w:t>
      </w:r>
      <w:r>
        <w:rPr>
          <w:rFonts w:hint="eastAsia" w:ascii="宋体" w:hAnsi="宋体" w:cs="宋体"/>
          <w:szCs w:val="21"/>
          <w:lang w:eastAsia="zh-CN"/>
        </w:rPr>
        <w:t>成交单位</w:t>
      </w:r>
      <w:r>
        <w:rPr>
          <w:rFonts w:hint="eastAsia" w:ascii="宋体" w:hAnsi="宋体" w:cs="宋体"/>
          <w:szCs w:val="21"/>
        </w:rPr>
        <w:t>不得将货物及其他相关服务进行转包。未经</w:t>
      </w:r>
      <w:r>
        <w:rPr>
          <w:rFonts w:hint="eastAsia" w:ascii="宋体" w:hAnsi="宋体" w:cs="宋体"/>
          <w:szCs w:val="21"/>
          <w:lang w:eastAsia="zh-CN"/>
        </w:rPr>
        <w:t>采购人</w:t>
      </w:r>
      <w:r>
        <w:rPr>
          <w:rFonts w:hint="eastAsia" w:ascii="宋体" w:hAnsi="宋体" w:cs="宋体"/>
          <w:szCs w:val="21"/>
        </w:rPr>
        <w:t>同意，</w:t>
      </w:r>
      <w:r>
        <w:rPr>
          <w:rFonts w:hint="eastAsia" w:ascii="宋体" w:hAnsi="宋体" w:cs="宋体"/>
          <w:szCs w:val="21"/>
          <w:lang w:eastAsia="zh-CN"/>
        </w:rPr>
        <w:t>成交单位</w:t>
      </w:r>
      <w:r>
        <w:rPr>
          <w:rFonts w:hint="eastAsia" w:ascii="宋体" w:hAnsi="宋体" w:cs="宋体"/>
          <w:szCs w:val="21"/>
        </w:rPr>
        <w:t>也不得采用分包的形式履行合同，否则</w:t>
      </w:r>
      <w:r>
        <w:rPr>
          <w:rFonts w:hint="eastAsia" w:ascii="宋体" w:hAnsi="宋体" w:cs="宋体"/>
          <w:szCs w:val="21"/>
          <w:lang w:eastAsia="zh-CN"/>
        </w:rPr>
        <w:t>采购人</w:t>
      </w:r>
      <w:r>
        <w:rPr>
          <w:rFonts w:hint="eastAsia" w:ascii="宋体" w:hAnsi="宋体" w:cs="宋体"/>
          <w:szCs w:val="21"/>
        </w:rPr>
        <w:t>有权终止合同。转包或分包造成</w:t>
      </w:r>
      <w:r>
        <w:rPr>
          <w:rFonts w:hint="eastAsia" w:ascii="宋体" w:hAnsi="宋体" w:cs="宋体"/>
          <w:szCs w:val="21"/>
          <w:lang w:eastAsia="zh-CN"/>
        </w:rPr>
        <w:t>采购人</w:t>
      </w:r>
      <w:r>
        <w:rPr>
          <w:rFonts w:hint="eastAsia" w:ascii="宋体" w:hAnsi="宋体" w:cs="宋体"/>
          <w:szCs w:val="21"/>
        </w:rPr>
        <w:t>损失的，</w:t>
      </w:r>
      <w:r>
        <w:rPr>
          <w:rFonts w:hint="eastAsia" w:ascii="宋体" w:hAnsi="宋体" w:cs="宋体"/>
          <w:szCs w:val="21"/>
          <w:lang w:eastAsia="zh-CN"/>
        </w:rPr>
        <w:t>成交单位</w:t>
      </w:r>
      <w:r>
        <w:rPr>
          <w:rFonts w:hint="eastAsia" w:ascii="宋体" w:hAnsi="宋体" w:cs="宋体"/>
          <w:szCs w:val="21"/>
        </w:rPr>
        <w:t>应承担相应赔偿责任。</w:t>
      </w:r>
    </w:p>
    <w:p w14:paraId="24B24EA5">
      <w:pPr>
        <w:spacing w:line="440" w:lineRule="exact"/>
        <w:ind w:firstLine="420" w:firstLineChars="200"/>
        <w:rPr>
          <w:rFonts w:hint="eastAsia" w:ascii="宋体" w:hAnsi="宋体" w:cs="宋体"/>
          <w:szCs w:val="21"/>
        </w:rPr>
      </w:pPr>
      <w:r>
        <w:rPr>
          <w:rFonts w:hint="eastAsia" w:ascii="宋体" w:hAnsi="宋体" w:cs="宋体"/>
          <w:szCs w:val="21"/>
        </w:rPr>
        <w:t>如乙方未经甲方书面同意擅自转包、分包，甲方有权单方解除合同并追溯既往全部损失，乙方应承担全部赔偿责任。</w:t>
      </w:r>
    </w:p>
    <w:p w14:paraId="40642694">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.4合同履行中，</w:t>
      </w:r>
      <w:r>
        <w:rPr>
          <w:rFonts w:hint="eastAsia" w:ascii="宋体" w:hAnsi="宋体" w:cs="宋体"/>
          <w:szCs w:val="21"/>
          <w:lang w:eastAsia="zh-CN"/>
        </w:rPr>
        <w:t>采购人</w:t>
      </w:r>
      <w:r>
        <w:rPr>
          <w:rFonts w:hint="eastAsia" w:ascii="宋体" w:hAnsi="宋体" w:cs="宋体"/>
          <w:szCs w:val="21"/>
        </w:rPr>
        <w:t>需追加与合同标的相同的货物和服务的，在不改变合同其他条款的前提下，可以与</w:t>
      </w:r>
      <w:r>
        <w:rPr>
          <w:rFonts w:hint="eastAsia" w:ascii="宋体" w:hAnsi="宋体" w:cs="宋体"/>
          <w:szCs w:val="21"/>
          <w:lang w:eastAsia="zh-CN"/>
        </w:rPr>
        <w:t>成交单位</w:t>
      </w:r>
      <w:r>
        <w:rPr>
          <w:rFonts w:hint="eastAsia" w:ascii="宋体" w:hAnsi="宋体" w:cs="宋体"/>
          <w:szCs w:val="21"/>
        </w:rPr>
        <w:t>协商签订补充合同，但所有补充合同的采购金额不超过原合同金额10%。</w:t>
      </w:r>
    </w:p>
    <w:p w14:paraId="6E09BA2D">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.5</w:t>
      </w:r>
      <w:r>
        <w:rPr>
          <w:rFonts w:hint="eastAsia" w:ascii="宋体" w:hAnsi="宋体" w:cs="宋体"/>
          <w:szCs w:val="21"/>
          <w:lang w:eastAsia="zh-CN"/>
        </w:rPr>
        <w:t>成交单位</w:t>
      </w:r>
      <w:r>
        <w:rPr>
          <w:rFonts w:hint="eastAsia" w:ascii="宋体" w:hAnsi="宋体" w:cs="宋体"/>
          <w:szCs w:val="21"/>
        </w:rPr>
        <w:t>因不可抗力导致无法按期签订合同的，应当在不可抗力发生之日起5日内提出，并提供书面证据，</w:t>
      </w:r>
      <w:r>
        <w:rPr>
          <w:rFonts w:hint="eastAsia" w:ascii="宋体" w:hAnsi="宋体" w:cs="宋体"/>
          <w:szCs w:val="21"/>
          <w:lang w:eastAsia="zh-CN"/>
        </w:rPr>
        <w:t>采购人</w:t>
      </w:r>
      <w:r>
        <w:rPr>
          <w:rFonts w:hint="eastAsia" w:ascii="宋体" w:hAnsi="宋体" w:cs="宋体"/>
          <w:szCs w:val="21"/>
        </w:rPr>
        <w:t>及</w:t>
      </w:r>
      <w:r>
        <w:rPr>
          <w:rFonts w:hint="eastAsia" w:ascii="宋体" w:hAnsi="宋体" w:cs="宋体"/>
          <w:szCs w:val="21"/>
          <w:lang w:eastAsia="zh-CN"/>
        </w:rPr>
        <w:t>成交单位</w:t>
      </w:r>
      <w:r>
        <w:rPr>
          <w:rFonts w:hint="eastAsia" w:ascii="宋体" w:hAnsi="宋体" w:cs="宋体"/>
          <w:szCs w:val="21"/>
        </w:rPr>
        <w:t>互不承担任何责任及损失。如</w:t>
      </w:r>
      <w:r>
        <w:rPr>
          <w:rFonts w:hint="eastAsia" w:ascii="宋体" w:hAnsi="宋体" w:cs="宋体"/>
          <w:szCs w:val="21"/>
          <w:lang w:eastAsia="zh-CN"/>
        </w:rPr>
        <w:t>成交单位</w:t>
      </w:r>
      <w:r>
        <w:rPr>
          <w:rFonts w:hint="eastAsia" w:ascii="宋体" w:hAnsi="宋体" w:cs="宋体"/>
          <w:szCs w:val="21"/>
        </w:rPr>
        <w:t>无正当理由未按期签订合同的，视为自动放弃中标资格，并承担违约责任，</w:t>
      </w:r>
      <w:r>
        <w:rPr>
          <w:rFonts w:hint="eastAsia" w:ascii="宋体" w:hAnsi="宋体" w:cs="宋体"/>
          <w:szCs w:val="21"/>
          <w:lang w:eastAsia="zh-CN"/>
        </w:rPr>
        <w:t>采购人</w:t>
      </w:r>
      <w:r>
        <w:rPr>
          <w:rFonts w:hint="eastAsia" w:ascii="宋体" w:hAnsi="宋体" w:cs="宋体"/>
          <w:szCs w:val="21"/>
        </w:rPr>
        <w:t>可以与排位在</w:t>
      </w:r>
      <w:r>
        <w:rPr>
          <w:rFonts w:hint="eastAsia" w:ascii="宋体" w:hAnsi="宋体" w:cs="宋体"/>
          <w:szCs w:val="21"/>
          <w:lang w:eastAsia="zh-CN"/>
        </w:rPr>
        <w:t>成交单位</w:t>
      </w:r>
      <w:r>
        <w:rPr>
          <w:rFonts w:hint="eastAsia" w:ascii="宋体" w:hAnsi="宋体" w:cs="宋体"/>
          <w:szCs w:val="21"/>
        </w:rPr>
        <w:t>之后第一位的</w:t>
      </w:r>
      <w:r>
        <w:rPr>
          <w:rFonts w:hint="eastAsia" w:ascii="宋体" w:hAnsi="宋体" w:cs="宋体"/>
          <w:szCs w:val="21"/>
          <w:lang w:eastAsia="zh-CN"/>
        </w:rPr>
        <w:t>成交候选人</w:t>
      </w:r>
      <w:r>
        <w:rPr>
          <w:rFonts w:hint="eastAsia" w:ascii="宋体" w:hAnsi="宋体" w:cs="宋体"/>
          <w:szCs w:val="21"/>
        </w:rPr>
        <w:t>签订合同或重新委托进行招标。</w:t>
      </w:r>
    </w:p>
    <w:p w14:paraId="0140A8ED">
      <w:pPr>
        <w:spacing w:line="440" w:lineRule="exact"/>
        <w:ind w:firstLine="422" w:firstLineChars="200"/>
        <w:rPr>
          <w:rFonts w:hint="eastAsia" w:ascii="宋体" w:hAnsi="宋体" w:cs="宋体"/>
          <w:b/>
          <w:szCs w:val="21"/>
        </w:rPr>
      </w:pPr>
      <w:r>
        <w:rPr>
          <w:rFonts w:hint="eastAsia" w:ascii="宋体" w:hAnsi="宋体" w:cs="宋体"/>
          <w:b/>
          <w:kern w:val="2"/>
          <w:szCs w:val="21"/>
          <w:lang w:val="en-US" w:eastAsia="zh-CN"/>
        </w:rPr>
        <w:t>12</w:t>
      </w:r>
      <w:r>
        <w:rPr>
          <w:rFonts w:hint="eastAsia" w:ascii="宋体" w:hAnsi="宋体" w:cs="宋体"/>
          <w:b/>
          <w:kern w:val="2"/>
          <w:szCs w:val="21"/>
        </w:rPr>
        <w:t>.联系方式</w:t>
      </w:r>
    </w:p>
    <w:p w14:paraId="289D4951">
      <w:pPr>
        <w:pStyle w:val="10"/>
        <w:tabs>
          <w:tab w:val="left" w:pos="525"/>
        </w:tabs>
        <w:snapToGrid w:val="0"/>
        <w:spacing w:line="460" w:lineRule="exact"/>
        <w:ind w:firstLine="0"/>
        <w:rPr>
          <w:rFonts w:hint="eastAsia"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35126B44">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 xml:space="preserve">    联系人：赵健     电话：18661601232</w:t>
      </w:r>
    </w:p>
    <w:p w14:paraId="1EA9CF95">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（2）采购代理机构：</w:t>
      </w:r>
      <w:r>
        <w:rPr>
          <w:rFonts w:hint="eastAsia" w:ascii="宋体" w:hAnsi="宋体" w:cs="宋体"/>
          <w:szCs w:val="21"/>
        </w:rPr>
        <w:t>江苏恒卓工程管理咨询有限公司</w:t>
      </w:r>
    </w:p>
    <w:p w14:paraId="738D47FA">
      <w:pPr>
        <w:widowControl/>
        <w:snapToGrid w:val="0"/>
        <w:spacing w:line="460" w:lineRule="exact"/>
        <w:ind w:right="-154" w:firstLine="945" w:firstLineChars="450"/>
        <w:jc w:val="left"/>
        <w:rPr>
          <w:rFonts w:hint="eastAsia"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E0F36E6">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九、采购内容及基本要求</w:t>
      </w:r>
    </w:p>
    <w:p w14:paraId="78B9D52A">
      <w:pPr>
        <w:spacing w:line="440" w:lineRule="exact"/>
        <w:ind w:firstLine="420" w:firstLineChars="200"/>
        <w:rPr>
          <w:rFonts w:hint="eastAsia" w:ascii="宋体" w:hAnsi="宋体" w:cs="宋体"/>
          <w:szCs w:val="21"/>
        </w:rPr>
      </w:pPr>
      <w:r>
        <w:rPr>
          <w:rFonts w:hint="eastAsia" w:ascii="宋体" w:hAnsi="宋体" w:cs="宋体"/>
          <w:szCs w:val="21"/>
        </w:rPr>
        <w:t>（一）基本要求</w:t>
      </w:r>
    </w:p>
    <w:p w14:paraId="0C33B4A1">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36A54E72">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供应商根据招投标文件的要求，生产制作符合要求的产品，并按照要求的时间和地点保质保量完成送货和安装，确保学校开学正常使用。</w:t>
      </w:r>
    </w:p>
    <w:p w14:paraId="7EBF299A">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06ABF003">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所提供的货物的技术规格参数指标应等于或高于招标文件规定的技术规格参数指标；若技术性能无特殊说明，则按国家有关部门最新颁布的标准及规范为准。</w:t>
      </w:r>
    </w:p>
    <w:p w14:paraId="0D234855">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D9AA2EC">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5068FA7F">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65EADE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594279F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13E29F6">
      <w:pPr>
        <w:spacing w:line="440" w:lineRule="exact"/>
        <w:ind w:firstLine="422" w:firstLineChars="200"/>
        <w:rPr>
          <w:rFonts w:hint="eastAsia" w:ascii="宋体" w:hAnsi="宋体" w:cs="宋体"/>
          <w:b/>
          <w:bCs/>
          <w:szCs w:val="21"/>
        </w:rPr>
      </w:pPr>
      <w:r>
        <w:rPr>
          <w:rFonts w:hint="eastAsia" w:ascii="宋体" w:hAnsi="宋体" w:cs="宋体"/>
          <w:b/>
          <w:bCs/>
          <w:szCs w:val="21"/>
          <w:lang w:bidi="ar"/>
        </w:rPr>
        <w:t>（二）验收标准</w:t>
      </w:r>
    </w:p>
    <w:p w14:paraId="24FDFC68">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w:t>
      </w:r>
    </w:p>
    <w:p w14:paraId="2DF282EE">
      <w:pPr>
        <w:spacing w:line="440" w:lineRule="exact"/>
        <w:ind w:firstLine="420" w:firstLineChars="200"/>
        <w:rPr>
          <w:rFonts w:hint="eastAsia" w:ascii="宋体" w:hAnsi="宋体" w:cs="宋体"/>
          <w:szCs w:val="21"/>
        </w:rPr>
      </w:pPr>
      <w:r>
        <w:rPr>
          <w:rFonts w:hint="eastAsia" w:ascii="宋体" w:hAnsi="宋体" w:cs="宋体"/>
          <w:szCs w:val="21"/>
          <w:lang w:bidi="ar"/>
        </w:rPr>
        <w:t>2.供应商每批次交付的货物应当完全符合合同或者询价通知书所规定的货物名称、数量和规格要求。供应商提供的货物不符合要求的，采购人有权拒收货物，由此造成的损失，由供应商承担。</w:t>
      </w:r>
    </w:p>
    <w:p w14:paraId="6E2707B3">
      <w:pPr>
        <w:spacing w:line="440" w:lineRule="exact"/>
        <w:ind w:firstLine="420" w:firstLineChars="200"/>
        <w:rPr>
          <w:rFonts w:hint="eastAsia" w:ascii="宋体" w:hAnsi="宋体" w:cs="宋体"/>
          <w:szCs w:val="21"/>
        </w:rPr>
      </w:pPr>
      <w:r>
        <w:rPr>
          <w:rFonts w:hint="eastAsia" w:ascii="宋体" w:hAnsi="宋体" w:cs="宋体"/>
          <w:szCs w:val="21"/>
          <w:lang w:bidi="ar"/>
        </w:rPr>
        <w:t>3.供应商应保证将货物按照国家或专业标准包装、确保货物安全无损运抵合同规定的交货地点，双方当场验收签字。货物的到货验收包括：名称、规格、数量及货物外观包装是否完好。</w:t>
      </w:r>
    </w:p>
    <w:p w14:paraId="09C32487">
      <w:pPr>
        <w:widowControl/>
        <w:spacing w:line="440" w:lineRule="exact"/>
        <w:ind w:firstLine="420" w:firstLineChars="200"/>
        <w:rPr>
          <w:rFonts w:hint="eastAsia" w:ascii="宋体" w:hAnsi="宋体" w:cs="宋体"/>
          <w:b/>
          <w:bCs/>
          <w:szCs w:val="21"/>
          <w:lang w:bidi="ar"/>
        </w:rPr>
      </w:pPr>
      <w:r>
        <w:rPr>
          <w:rFonts w:hint="eastAsia" w:ascii="宋体" w:hAnsi="宋体" w:cs="宋体"/>
          <w:szCs w:val="21"/>
          <w:lang w:bidi="ar"/>
        </w:rPr>
        <w:t>4.货物出现全部或部分未达到所约定的技术指标，或达不到采购人使用条件的，采购人有权要求供应商对货物进行免费更换，直至合格为止。</w:t>
      </w:r>
    </w:p>
    <w:p w14:paraId="56589D69">
      <w:pPr>
        <w:spacing w:line="440" w:lineRule="exact"/>
        <w:ind w:firstLine="420" w:firstLineChars="200"/>
        <w:rPr>
          <w:rFonts w:hint="eastAsia" w:ascii="宋体" w:hAnsi="宋体" w:cs="宋体"/>
          <w:szCs w:val="21"/>
        </w:rPr>
      </w:pPr>
      <w:r>
        <w:rPr>
          <w:rFonts w:hint="eastAsia" w:ascii="宋体" w:hAnsi="宋体" w:cs="宋体"/>
          <w:szCs w:val="21"/>
        </w:rPr>
        <w:t>（三）服务内容及采购清单</w:t>
      </w:r>
    </w:p>
    <w:p w14:paraId="209B9AA4">
      <w:pPr>
        <w:adjustRightInd w:val="0"/>
        <w:snapToGrid w:val="0"/>
        <w:spacing w:line="460" w:lineRule="exact"/>
        <w:ind w:firstLine="420" w:firstLineChars="200"/>
        <w:rPr>
          <w:rFonts w:hint="eastAsia" w:ascii="宋体" w:hAnsi="宋体" w:cs="宋体"/>
          <w:szCs w:val="21"/>
          <w:lang w:bidi="ar"/>
        </w:rPr>
      </w:pPr>
      <w:r>
        <w:rPr>
          <w:rFonts w:hint="eastAsia" w:ascii="宋体" w:hAnsi="宋体" w:cs="宋体"/>
          <w:szCs w:val="21"/>
          <w:lang w:bidi="ar"/>
        </w:rPr>
        <w:t>1、供应商需按报价函所列药品规格、数量及送货频次，提供符合质量标准的药剂（具体清单如下）；</w:t>
      </w:r>
    </w:p>
    <w:tbl>
      <w:tblPr>
        <w:tblStyle w:val="25"/>
        <w:tblW w:w="9158" w:type="dxa"/>
        <w:jc w:val="center"/>
        <w:tblLayout w:type="autofit"/>
        <w:tblCellMar>
          <w:top w:w="0" w:type="dxa"/>
          <w:left w:w="108" w:type="dxa"/>
          <w:bottom w:w="0" w:type="dxa"/>
          <w:right w:w="108" w:type="dxa"/>
        </w:tblCellMar>
      </w:tblPr>
      <w:tblGrid>
        <w:gridCol w:w="755"/>
        <w:gridCol w:w="1334"/>
        <w:gridCol w:w="4596"/>
        <w:gridCol w:w="1522"/>
        <w:gridCol w:w="951"/>
      </w:tblGrid>
      <w:tr w14:paraId="1D5657BD">
        <w:tblPrEx>
          <w:tblCellMar>
            <w:top w:w="0" w:type="dxa"/>
            <w:left w:w="108" w:type="dxa"/>
            <w:bottom w:w="0" w:type="dxa"/>
            <w:right w:w="108" w:type="dxa"/>
          </w:tblCellMar>
        </w:tblPrEx>
        <w:trPr>
          <w:trHeight w:val="61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087BE83C">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334" w:type="dxa"/>
            <w:tcBorders>
              <w:top w:val="single" w:color="auto" w:sz="4" w:space="0"/>
              <w:left w:val="nil"/>
              <w:bottom w:val="single" w:color="auto" w:sz="4" w:space="0"/>
              <w:right w:val="single" w:color="auto" w:sz="4" w:space="0"/>
            </w:tcBorders>
            <w:vAlign w:val="center"/>
          </w:tcPr>
          <w:p w14:paraId="1488EDF6">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药品</w:t>
            </w:r>
          </w:p>
        </w:tc>
        <w:tc>
          <w:tcPr>
            <w:tcW w:w="4596" w:type="dxa"/>
            <w:tcBorders>
              <w:top w:val="single" w:color="auto" w:sz="4" w:space="0"/>
              <w:left w:val="nil"/>
              <w:bottom w:val="single" w:color="auto" w:sz="4" w:space="0"/>
              <w:right w:val="single" w:color="auto" w:sz="4" w:space="0"/>
            </w:tcBorders>
            <w:vAlign w:val="center"/>
          </w:tcPr>
          <w:p w14:paraId="641DB7A1">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药品形态参数</w:t>
            </w:r>
          </w:p>
        </w:tc>
        <w:tc>
          <w:tcPr>
            <w:tcW w:w="1522" w:type="dxa"/>
            <w:tcBorders>
              <w:top w:val="single" w:color="auto" w:sz="4" w:space="0"/>
              <w:left w:val="single" w:color="auto" w:sz="4" w:space="0"/>
              <w:bottom w:val="single" w:color="auto" w:sz="4" w:space="0"/>
              <w:right w:val="single" w:color="auto" w:sz="4" w:space="0"/>
            </w:tcBorders>
            <w:vAlign w:val="center"/>
          </w:tcPr>
          <w:p w14:paraId="7353F220">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951" w:type="dxa"/>
            <w:tcBorders>
              <w:top w:val="single" w:color="auto" w:sz="4" w:space="0"/>
              <w:left w:val="nil"/>
              <w:bottom w:val="single" w:color="auto" w:sz="4" w:space="0"/>
              <w:right w:val="single" w:color="auto" w:sz="4" w:space="0"/>
            </w:tcBorders>
            <w:vAlign w:val="center"/>
          </w:tcPr>
          <w:p w14:paraId="767CABEF">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r>
      <w:tr w14:paraId="69F068EB">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1470BA2A">
            <w:pPr>
              <w:widowControl/>
              <w:adjustRightInd w:val="0"/>
              <w:snapToGrid w:val="0"/>
              <w:spacing w:line="260" w:lineRule="exact"/>
              <w:jc w:val="center"/>
              <w:rPr>
                <w:rFonts w:hint="eastAsia" w:ascii="宋体" w:hAnsi="宋体" w:cs="宋体"/>
                <w:color w:val="000000"/>
                <w:kern w:val="0"/>
                <w:szCs w:val="21"/>
                <w:highlight w:val="none"/>
              </w:rPr>
            </w:pPr>
            <w:bookmarkStart w:id="0" w:name="_Hlk220491688"/>
            <w:r>
              <w:rPr>
                <w:rFonts w:hint="eastAsia" w:ascii="宋体" w:hAnsi="宋体" w:cs="宋体"/>
                <w:color w:val="000000"/>
                <w:kern w:val="0"/>
                <w:szCs w:val="21"/>
                <w:highlight w:val="none"/>
              </w:rPr>
              <w:t>1</w:t>
            </w:r>
          </w:p>
        </w:tc>
        <w:tc>
          <w:tcPr>
            <w:tcW w:w="1334" w:type="dxa"/>
            <w:vMerge w:val="restart"/>
            <w:tcBorders>
              <w:top w:val="nil"/>
              <w:left w:val="nil"/>
              <w:right w:val="single" w:color="auto" w:sz="4" w:space="0"/>
            </w:tcBorders>
            <w:vAlign w:val="center"/>
          </w:tcPr>
          <w:p w14:paraId="43A2A231">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次钠(提供三个不同厂家)</w:t>
            </w:r>
          </w:p>
        </w:tc>
        <w:tc>
          <w:tcPr>
            <w:tcW w:w="4596" w:type="dxa"/>
            <w:tcBorders>
              <w:top w:val="nil"/>
              <w:left w:val="nil"/>
              <w:bottom w:val="single" w:color="auto" w:sz="4" w:space="0"/>
              <w:right w:val="single" w:color="auto" w:sz="4" w:space="0"/>
            </w:tcBorders>
          </w:tcPr>
          <w:p w14:paraId="048A7F3B">
            <w:pPr>
              <w:widowControl/>
              <w:adjustRightInd w:val="0"/>
              <w:snapToGrid w:val="0"/>
              <w:spacing w:line="260" w:lineRule="exact"/>
              <w:jc w:val="lef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51350FD6">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5E2C213B">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5E03C81F">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1F3C3A6C">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right w:val="single" w:color="auto" w:sz="4" w:space="0"/>
            </w:tcBorders>
            <w:vAlign w:val="center"/>
          </w:tcPr>
          <w:p w14:paraId="46F5FE26">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right w:val="single" w:color="auto" w:sz="4" w:space="0"/>
            </w:tcBorders>
            <w:vAlign w:val="center"/>
          </w:tcPr>
          <w:p w14:paraId="6623DE88">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tcPr>
          <w:p w14:paraId="179917A8">
            <w:pPr>
              <w:widowControl/>
              <w:adjustRightInd w:val="0"/>
              <w:snapToGrid w:val="0"/>
              <w:spacing w:line="260" w:lineRule="exact"/>
              <w:jc w:val="lef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091CE25F">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601C8CDF">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42552AAB">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7CCA15DE">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bottom w:val="single" w:color="auto" w:sz="4" w:space="0"/>
              <w:right w:val="single" w:color="auto" w:sz="4" w:space="0"/>
            </w:tcBorders>
            <w:vAlign w:val="center"/>
          </w:tcPr>
          <w:p w14:paraId="649A0C16">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04CE9371">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tcPr>
          <w:p w14:paraId="02862F06">
            <w:pPr>
              <w:widowControl/>
              <w:adjustRightInd w:val="0"/>
              <w:snapToGrid w:val="0"/>
              <w:spacing w:line="260" w:lineRule="exact"/>
              <w:jc w:val="lef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03FB1BAA">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55EEB44E">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4187FE36">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0D2E4ED7">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6FB5E566">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1334" w:type="dxa"/>
            <w:vMerge w:val="restart"/>
            <w:tcBorders>
              <w:top w:val="nil"/>
              <w:left w:val="nil"/>
              <w:right w:val="single" w:color="auto" w:sz="4" w:space="0"/>
            </w:tcBorders>
            <w:vAlign w:val="center"/>
          </w:tcPr>
          <w:p w14:paraId="302E6EB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液碱</w:t>
            </w:r>
          </w:p>
        </w:tc>
        <w:tc>
          <w:tcPr>
            <w:tcW w:w="4596" w:type="dxa"/>
            <w:tcBorders>
              <w:top w:val="nil"/>
              <w:left w:val="nil"/>
              <w:bottom w:val="single" w:color="auto" w:sz="4" w:space="0"/>
              <w:right w:val="single" w:color="auto" w:sz="4" w:space="0"/>
            </w:tcBorders>
            <w:vAlign w:val="center"/>
          </w:tcPr>
          <w:p w14:paraId="738CFB67">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NaOH含量 30%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NaOH≥30%，Na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0.5%，NaCl≤0.03%</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209-2018 《工业用氢氧化钠》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塑料桶或槽罐车。强腐蚀性，危险品运输。</w:t>
            </w:r>
          </w:p>
          <w:p w14:paraId="005A5BA5">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49417C5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704C1B0D">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201F7CD3">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right w:val="single" w:color="auto" w:sz="4" w:space="0"/>
            </w:tcBorders>
            <w:vAlign w:val="center"/>
          </w:tcPr>
          <w:p w14:paraId="44934986">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right w:val="single" w:color="auto" w:sz="4" w:space="0"/>
            </w:tcBorders>
            <w:vAlign w:val="center"/>
          </w:tcPr>
          <w:p w14:paraId="61787517">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37AA6BA0">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NaOH含量 32%</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NaOH≥32%，Na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0.5%，NaCl≤0.03%，Fe</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0.005%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209-2018 《工业用氢氧化钠》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塑料桶或槽罐车。强腐蚀性，危险品运输。</w:t>
            </w:r>
          </w:p>
          <w:p w14:paraId="6530E445">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6076CC07">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487E102B">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4D7E472E">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bottom w:val="single" w:color="auto" w:sz="4" w:space="0"/>
              <w:right w:val="single" w:color="auto" w:sz="4" w:space="0"/>
            </w:tcBorders>
            <w:vAlign w:val="center"/>
          </w:tcPr>
          <w:p w14:paraId="73047A99">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0DE03885">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087D58FE">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纳米碱含量 25%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有效碱含量≥25%，粒径分布（D50）≤100nm（需提供检测报告）</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w:t>
            </w:r>
            <w:r>
              <w:rPr>
                <w:rFonts w:hint="eastAsia" w:ascii="宋体" w:hAnsi="宋体" w:cs="宋体"/>
                <w:color w:val="000000"/>
                <w:szCs w:val="21"/>
                <w:highlight w:val="none"/>
              </w:rPr>
              <w:t>或槽罐车</w:t>
            </w:r>
            <w:r>
              <w:rPr>
                <w:rFonts w:ascii="宋体" w:hAnsi="宋体" w:cs="宋体"/>
                <w:color w:val="000000"/>
                <w:szCs w:val="21"/>
                <w:highlight w:val="none"/>
              </w:rPr>
              <w:t>。防冻、防曝晒。普通货物运输（按企业标准规定）</w:t>
            </w:r>
          </w:p>
          <w:p w14:paraId="6DE50062">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675F0626">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951" w:type="dxa"/>
            <w:tcBorders>
              <w:top w:val="nil"/>
              <w:left w:val="nil"/>
              <w:bottom w:val="single" w:color="auto" w:sz="4" w:space="0"/>
              <w:right w:val="single" w:color="auto" w:sz="4" w:space="0"/>
            </w:tcBorders>
            <w:vAlign w:val="center"/>
          </w:tcPr>
          <w:p w14:paraId="437BC6AE">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r>
      <w:tr w14:paraId="23C05BA6">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007D837C">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1334" w:type="dxa"/>
            <w:vMerge w:val="restart"/>
            <w:tcBorders>
              <w:top w:val="nil"/>
              <w:left w:val="nil"/>
              <w:right w:val="single" w:color="auto" w:sz="4" w:space="0"/>
            </w:tcBorders>
            <w:vAlign w:val="center"/>
          </w:tcPr>
          <w:p w14:paraId="6A29E25E">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石灰</w:t>
            </w:r>
          </w:p>
        </w:tc>
        <w:tc>
          <w:tcPr>
            <w:tcW w:w="4596" w:type="dxa"/>
            <w:tcBorders>
              <w:top w:val="nil"/>
              <w:left w:val="nil"/>
              <w:bottom w:val="single" w:color="auto" w:sz="4" w:space="0"/>
              <w:right w:val="single" w:color="auto" w:sz="4" w:space="0"/>
            </w:tcBorders>
            <w:vAlign w:val="center"/>
          </w:tcPr>
          <w:p w14:paraId="6B3F58AC">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粉末</w:t>
            </w:r>
            <w:r>
              <w:rPr>
                <w:rFonts w:ascii="宋体" w:hAnsi="宋体" w:cs="宋体"/>
                <w:color w:val="000000"/>
                <w:szCs w:val="21"/>
                <w:highlight w:val="none"/>
              </w:rPr>
              <w:br w:type="textWrapping"/>
            </w:r>
            <w:r>
              <w:rPr>
                <w:rFonts w:ascii="宋体" w:hAnsi="宋体" w:cs="宋体"/>
                <w:b/>
                <w:bCs/>
                <w:color w:val="000000"/>
                <w:szCs w:val="21"/>
                <w:highlight w:val="none"/>
              </w:rPr>
              <w:t>细度/纯度：</w:t>
            </w:r>
            <w:r>
              <w:rPr>
                <w:rFonts w:ascii="宋体" w:hAnsi="宋体" w:cs="宋体"/>
                <w:color w:val="000000"/>
                <w:szCs w:val="21"/>
                <w:highlight w:val="none"/>
              </w:rPr>
              <w:t>纯度≥90%，细度通过300目筛≥95%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CaO含量≥90%，活性度≥300mL，MgO含量≤2.0%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4205-2011 《工业氧化钙》</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hint="eastAsia" w:ascii="宋体" w:hAnsi="宋体" w:cs="宋体"/>
                <w:color w:val="000000"/>
                <w:szCs w:val="21"/>
                <w:highlight w:val="none"/>
              </w:rPr>
              <w:t>槽罐车</w:t>
            </w:r>
            <w:r>
              <w:rPr>
                <w:rFonts w:ascii="宋体" w:hAnsi="宋体" w:cs="宋体"/>
                <w:color w:val="000000"/>
                <w:szCs w:val="21"/>
                <w:highlight w:val="none"/>
              </w:rPr>
              <w:t>。防潮。普通货物运输。</w:t>
            </w:r>
          </w:p>
          <w:p w14:paraId="63DE2470">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4D27F664">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951" w:type="dxa"/>
            <w:tcBorders>
              <w:top w:val="nil"/>
              <w:left w:val="nil"/>
              <w:bottom w:val="single" w:color="auto" w:sz="4" w:space="0"/>
              <w:right w:val="single" w:color="auto" w:sz="4" w:space="0"/>
            </w:tcBorders>
            <w:vAlign w:val="center"/>
          </w:tcPr>
          <w:p w14:paraId="1124298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r>
      <w:tr w14:paraId="26B7BAED">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right w:val="single" w:color="auto" w:sz="4" w:space="0"/>
            </w:tcBorders>
            <w:vAlign w:val="center"/>
          </w:tcPr>
          <w:p w14:paraId="2588BC68">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right w:val="single" w:color="auto" w:sz="4" w:space="0"/>
            </w:tcBorders>
            <w:vAlign w:val="center"/>
          </w:tcPr>
          <w:p w14:paraId="09B0B81A">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31FF3F42">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粉末</w:t>
            </w:r>
            <w:r>
              <w:rPr>
                <w:rFonts w:ascii="宋体" w:hAnsi="宋体" w:cs="宋体"/>
                <w:color w:val="000000"/>
                <w:szCs w:val="21"/>
                <w:highlight w:val="none"/>
              </w:rPr>
              <w:br w:type="textWrapping"/>
            </w:r>
            <w:r>
              <w:rPr>
                <w:rFonts w:ascii="宋体" w:hAnsi="宋体" w:cs="宋体"/>
                <w:b/>
                <w:bCs/>
                <w:color w:val="000000"/>
                <w:szCs w:val="21"/>
                <w:highlight w:val="none"/>
              </w:rPr>
              <w:t>细度/纯度：</w:t>
            </w:r>
            <w:r>
              <w:rPr>
                <w:rFonts w:ascii="宋体" w:hAnsi="宋体" w:cs="宋体"/>
                <w:color w:val="000000"/>
                <w:szCs w:val="21"/>
                <w:highlight w:val="none"/>
              </w:rPr>
              <w:t>纯度≥90%，细度通过250目筛≥95%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CaO含量≥90%，活性度≥280mL，MgO含量≤2.0%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4205-2011 《工业氧化钙》</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hint="eastAsia" w:ascii="宋体" w:hAnsi="宋体" w:cs="宋体"/>
                <w:color w:val="000000"/>
                <w:szCs w:val="21"/>
                <w:highlight w:val="none"/>
              </w:rPr>
              <w:t>槽罐车</w:t>
            </w:r>
            <w:r>
              <w:rPr>
                <w:rFonts w:ascii="宋体" w:hAnsi="宋体" w:cs="宋体"/>
                <w:color w:val="000000"/>
                <w:szCs w:val="21"/>
                <w:highlight w:val="none"/>
              </w:rPr>
              <w:t>。防潮。普通货物运输。</w:t>
            </w:r>
          </w:p>
          <w:p w14:paraId="5B937A83">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18F2EA2B">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951" w:type="dxa"/>
            <w:tcBorders>
              <w:top w:val="nil"/>
              <w:left w:val="nil"/>
              <w:bottom w:val="single" w:color="auto" w:sz="4" w:space="0"/>
              <w:right w:val="single" w:color="auto" w:sz="4" w:space="0"/>
            </w:tcBorders>
            <w:vAlign w:val="center"/>
          </w:tcPr>
          <w:p w14:paraId="3A0E229A">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r>
      <w:tr w14:paraId="4D6A546C">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bottom w:val="single" w:color="auto" w:sz="4" w:space="0"/>
              <w:right w:val="single" w:color="auto" w:sz="4" w:space="0"/>
            </w:tcBorders>
            <w:vAlign w:val="center"/>
          </w:tcPr>
          <w:p w14:paraId="718ACEF7">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7532D4C3">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2C51F2A4">
            <w:pPr>
              <w:widowControl/>
              <w:adjustRightInd w:val="0"/>
              <w:snapToGrid w:val="0"/>
              <w:spacing w:line="260" w:lineRule="exact"/>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粉末</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细度/纯度：</w:t>
            </w:r>
            <w:r>
              <w:rPr>
                <w:rFonts w:ascii="宋体" w:hAnsi="宋体" w:cs="宋体"/>
                <w:color w:val="000000"/>
                <w:kern w:val="0"/>
                <w:szCs w:val="21"/>
                <w:highlight w:val="none"/>
              </w:rPr>
              <w:t>纯度≥85%，细度通过250目筛≥95%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★关键指标：</w:t>
            </w:r>
            <w:r>
              <w:rPr>
                <w:rFonts w:ascii="宋体" w:hAnsi="宋体" w:cs="宋体"/>
                <w:color w:val="000000"/>
                <w:kern w:val="0"/>
                <w:szCs w:val="21"/>
                <w:highlight w:val="none"/>
              </w:rPr>
              <w:t>CaO含量≥85%，活性度≥250mL，MgO含量≤2.5%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HG/T 4205-2011 《工业氧化钙》</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hint="eastAsia" w:ascii="宋体" w:hAnsi="宋体" w:cs="宋体"/>
                <w:color w:val="000000"/>
                <w:kern w:val="0"/>
                <w:szCs w:val="21"/>
                <w:highlight w:val="none"/>
              </w:rPr>
              <w:t>槽罐车</w:t>
            </w:r>
            <w:r>
              <w:rPr>
                <w:rFonts w:ascii="宋体" w:hAnsi="宋体" w:cs="宋体"/>
                <w:color w:val="000000"/>
                <w:kern w:val="0"/>
                <w:szCs w:val="21"/>
                <w:highlight w:val="none"/>
              </w:rPr>
              <w:t>。防潮。普通货物运输</w:t>
            </w:r>
          </w:p>
          <w:p w14:paraId="3A192092">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0D6C61CF">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951" w:type="dxa"/>
            <w:tcBorders>
              <w:top w:val="nil"/>
              <w:left w:val="nil"/>
              <w:bottom w:val="single" w:color="auto" w:sz="4" w:space="0"/>
              <w:right w:val="single" w:color="auto" w:sz="4" w:space="0"/>
            </w:tcBorders>
            <w:vAlign w:val="center"/>
          </w:tcPr>
          <w:p w14:paraId="11F0F16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r>
      <w:tr w14:paraId="3AE4EE3F">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033587FB">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1334" w:type="dxa"/>
            <w:vMerge w:val="restart"/>
            <w:tcBorders>
              <w:top w:val="nil"/>
              <w:left w:val="nil"/>
              <w:right w:val="single" w:color="auto" w:sz="4" w:space="0"/>
            </w:tcBorders>
            <w:vAlign w:val="center"/>
          </w:tcPr>
          <w:p w14:paraId="37AE6C5F">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重补剂</w:t>
            </w:r>
          </w:p>
        </w:tc>
        <w:tc>
          <w:tcPr>
            <w:tcW w:w="4596" w:type="dxa"/>
            <w:tcBorders>
              <w:top w:val="nil"/>
              <w:left w:val="nil"/>
              <w:bottom w:val="single" w:color="auto" w:sz="4" w:space="0"/>
              <w:right w:val="single" w:color="auto" w:sz="4" w:space="0"/>
            </w:tcBorders>
            <w:vAlign w:val="center"/>
          </w:tcPr>
          <w:p w14:paraId="2670DBB1">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 99%</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主成分含量≥99%，水不溶物≤0.05%，重金属（以Pb计）≤10mg/kg（需明确主成分化学名称，如碳酸钠？）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3980373B">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62BABA63">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951" w:type="dxa"/>
            <w:tcBorders>
              <w:top w:val="nil"/>
              <w:left w:val="nil"/>
              <w:bottom w:val="single" w:color="auto" w:sz="4" w:space="0"/>
              <w:right w:val="single" w:color="auto" w:sz="4" w:space="0"/>
            </w:tcBorders>
            <w:vAlign w:val="center"/>
          </w:tcPr>
          <w:p w14:paraId="308D62EC">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r>
      <w:tr w14:paraId="500FAD20">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right w:val="single" w:color="auto" w:sz="4" w:space="0"/>
            </w:tcBorders>
            <w:vAlign w:val="center"/>
          </w:tcPr>
          <w:p w14:paraId="7B94C2F8">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right w:val="single" w:color="auto" w:sz="4" w:space="0"/>
            </w:tcBorders>
            <w:vAlign w:val="center"/>
          </w:tcPr>
          <w:p w14:paraId="1508AD5E">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5842C80A">
            <w:pPr>
              <w:widowControl/>
              <w:adjustRightInd w:val="0"/>
              <w:snapToGrid w:val="0"/>
              <w:spacing w:line="260" w:lineRule="exact"/>
              <w:jc w:val="left"/>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含量≥40%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有效成分含量≥40%，密度（20℃）1.2-1.4 g/cm³，pH值 7-9（需明确主成分化学名称）</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08EF99A3">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3802D07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951" w:type="dxa"/>
            <w:tcBorders>
              <w:top w:val="nil"/>
              <w:left w:val="nil"/>
              <w:bottom w:val="single" w:color="auto" w:sz="4" w:space="0"/>
              <w:right w:val="single" w:color="auto" w:sz="4" w:space="0"/>
            </w:tcBorders>
            <w:vAlign w:val="center"/>
          </w:tcPr>
          <w:p w14:paraId="5F045EEA">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6B28EF7C">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bottom w:val="single" w:color="auto" w:sz="4" w:space="0"/>
              <w:right w:val="single" w:color="auto" w:sz="4" w:space="0"/>
            </w:tcBorders>
            <w:vAlign w:val="center"/>
          </w:tcPr>
          <w:p w14:paraId="04719638">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149CA3E9">
            <w:pPr>
              <w:widowControl/>
              <w:adjustRightInd w:val="0"/>
              <w:snapToGrid w:val="0"/>
              <w:spacing w:line="260" w:lineRule="exact"/>
              <w:jc w:val="center"/>
              <w:rPr>
                <w:rFonts w:hint="eastAsia" w:ascii="宋体" w:hAnsi="宋体" w:cs="宋体"/>
                <w:color w:val="000000"/>
                <w:kern w:val="0"/>
                <w:szCs w:val="21"/>
                <w:highlight w:val="none"/>
              </w:rPr>
            </w:pPr>
          </w:p>
        </w:tc>
        <w:tc>
          <w:tcPr>
            <w:tcW w:w="4596" w:type="dxa"/>
            <w:tcBorders>
              <w:top w:val="nil"/>
              <w:left w:val="nil"/>
              <w:bottom w:val="single" w:color="auto" w:sz="4" w:space="0"/>
              <w:right w:val="single" w:color="auto" w:sz="4" w:space="0"/>
            </w:tcBorders>
            <w:vAlign w:val="center"/>
          </w:tcPr>
          <w:p w14:paraId="2396BC06">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固含量≥15%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固含量≥15%，粘度（25℃）≤50mPa·s，pH值 6-8（需明确固体成分）</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5848D2A5">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25D04684">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951" w:type="dxa"/>
            <w:tcBorders>
              <w:top w:val="nil"/>
              <w:left w:val="nil"/>
              <w:bottom w:val="single" w:color="auto" w:sz="4" w:space="0"/>
              <w:right w:val="single" w:color="auto" w:sz="4" w:space="0"/>
            </w:tcBorders>
            <w:vAlign w:val="center"/>
          </w:tcPr>
          <w:p w14:paraId="422E02D4">
            <w:pPr>
              <w:widowControl/>
              <w:adjustRightInd w:val="0"/>
              <w:snapToGrid w:val="0"/>
              <w:spacing w:line="26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r>
      <w:tr w14:paraId="4D7F2525">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1C785598">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1334" w:type="dxa"/>
            <w:vMerge w:val="restart"/>
            <w:tcBorders>
              <w:top w:val="nil"/>
              <w:left w:val="nil"/>
              <w:right w:val="single" w:color="auto" w:sz="4" w:space="0"/>
            </w:tcBorders>
            <w:vAlign w:val="center"/>
          </w:tcPr>
          <w:p w14:paraId="4F787146">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除氟剂</w:t>
            </w:r>
          </w:p>
        </w:tc>
        <w:tc>
          <w:tcPr>
            <w:tcW w:w="4596" w:type="dxa"/>
            <w:tcBorders>
              <w:top w:val="nil"/>
              <w:left w:val="nil"/>
              <w:bottom w:val="single" w:color="auto" w:sz="4" w:space="0"/>
              <w:right w:val="single" w:color="auto" w:sz="4" w:space="0"/>
            </w:tcBorders>
            <w:vAlign w:val="center"/>
          </w:tcPr>
          <w:p w14:paraId="324C1230">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含量≥16%</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有效成分（如Al</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₃</w:t>
            </w:r>
            <w:r>
              <w:rPr>
                <w:rFonts w:ascii="宋体" w:hAnsi="宋体" w:cs="宋体"/>
                <w:color w:val="000000"/>
                <w:szCs w:val="21"/>
                <w:highlight w:val="none"/>
              </w:rPr>
              <w:t>或CaO等，需明确）含量≥16%，除氟效率≥95%（特定条件下），pH适用范围 5-10</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5A9E6817">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62AE1349">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0.5</w:t>
            </w:r>
          </w:p>
        </w:tc>
        <w:tc>
          <w:tcPr>
            <w:tcW w:w="951" w:type="dxa"/>
            <w:tcBorders>
              <w:top w:val="nil"/>
              <w:left w:val="nil"/>
              <w:bottom w:val="single" w:color="auto" w:sz="4" w:space="0"/>
              <w:right w:val="single" w:color="auto" w:sz="4" w:space="0"/>
            </w:tcBorders>
            <w:vAlign w:val="center"/>
          </w:tcPr>
          <w:p w14:paraId="4B26D5D9">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r>
      <w:tr w14:paraId="70217884">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bottom w:val="single" w:color="auto" w:sz="4" w:space="0"/>
              <w:right w:val="single" w:color="auto" w:sz="4" w:space="0"/>
            </w:tcBorders>
            <w:vAlign w:val="center"/>
          </w:tcPr>
          <w:p w14:paraId="21C0D383">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7D7EFE9C">
            <w:pPr>
              <w:widowControl/>
              <w:adjustRightInd w:val="0"/>
              <w:snapToGrid w:val="0"/>
              <w:spacing w:line="260" w:lineRule="exact"/>
              <w:jc w:val="center"/>
              <w:rPr>
                <w:rFonts w:hint="eastAsia" w:ascii="宋体" w:hAnsi="宋体" w:cs="宋体"/>
                <w:color w:val="000000"/>
                <w:szCs w:val="21"/>
                <w:highlight w:val="none"/>
              </w:rPr>
            </w:pPr>
          </w:p>
        </w:tc>
        <w:tc>
          <w:tcPr>
            <w:tcW w:w="4596" w:type="dxa"/>
            <w:tcBorders>
              <w:top w:val="nil"/>
              <w:left w:val="nil"/>
              <w:bottom w:val="single" w:color="auto" w:sz="4" w:space="0"/>
              <w:right w:val="single" w:color="auto" w:sz="4" w:space="0"/>
            </w:tcBorders>
            <w:vAlign w:val="center"/>
          </w:tcPr>
          <w:p w14:paraId="60162C86">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含量≥8%</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有效成分含量≥8%，密度（20℃）1.1-1.3 g/cm³</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0BFAA574">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30678A20">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kern w:val="0"/>
                <w:szCs w:val="21"/>
                <w:highlight w:val="none"/>
              </w:rPr>
              <w:t>0.5</w:t>
            </w:r>
          </w:p>
        </w:tc>
        <w:tc>
          <w:tcPr>
            <w:tcW w:w="951" w:type="dxa"/>
            <w:tcBorders>
              <w:top w:val="nil"/>
              <w:left w:val="nil"/>
              <w:bottom w:val="single" w:color="auto" w:sz="4" w:space="0"/>
              <w:right w:val="single" w:color="auto" w:sz="4" w:space="0"/>
            </w:tcBorders>
            <w:vAlign w:val="center"/>
          </w:tcPr>
          <w:p w14:paraId="0F2AAFA4">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r>
      <w:tr w14:paraId="768A228D">
        <w:tblPrEx>
          <w:tblCellMar>
            <w:top w:w="0" w:type="dxa"/>
            <w:left w:w="108" w:type="dxa"/>
            <w:bottom w:w="0" w:type="dxa"/>
            <w:right w:w="108" w:type="dxa"/>
          </w:tblCellMar>
        </w:tblPrEx>
        <w:trPr>
          <w:trHeight w:val="338" w:hRule="atLeast"/>
          <w:jc w:val="center"/>
        </w:trPr>
        <w:tc>
          <w:tcPr>
            <w:tcW w:w="755" w:type="dxa"/>
            <w:vMerge w:val="restart"/>
            <w:tcBorders>
              <w:top w:val="nil"/>
              <w:left w:val="single" w:color="auto" w:sz="4" w:space="0"/>
              <w:right w:val="single" w:color="auto" w:sz="4" w:space="0"/>
            </w:tcBorders>
            <w:vAlign w:val="center"/>
          </w:tcPr>
          <w:p w14:paraId="4F196074">
            <w:pPr>
              <w:widowControl/>
              <w:adjustRightInd w:val="0"/>
              <w:snapToGrid w:val="0"/>
              <w:spacing w:line="2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1334" w:type="dxa"/>
            <w:vMerge w:val="restart"/>
            <w:tcBorders>
              <w:top w:val="nil"/>
              <w:left w:val="nil"/>
              <w:right w:val="single" w:color="auto" w:sz="4" w:space="0"/>
            </w:tcBorders>
            <w:vAlign w:val="center"/>
          </w:tcPr>
          <w:p w14:paraId="1B962FC3">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锌镍合金废水专用除镍剂</w:t>
            </w:r>
          </w:p>
        </w:tc>
        <w:tc>
          <w:tcPr>
            <w:tcW w:w="4596" w:type="dxa"/>
            <w:tcBorders>
              <w:top w:val="nil"/>
              <w:left w:val="nil"/>
              <w:bottom w:val="single" w:color="auto" w:sz="4" w:space="0"/>
              <w:right w:val="single" w:color="auto" w:sz="4" w:space="0"/>
            </w:tcBorders>
            <w:vAlign w:val="center"/>
          </w:tcPr>
          <w:p w14:paraId="54C38B3F">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 99%</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主成分含量≥99%，镍去除率≥99.5%，适用pH范围 3-1</w:t>
            </w:r>
          </w:p>
          <w:p w14:paraId="7BE361F2">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6BB31BB6">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single" w:color="auto" w:sz="4" w:space="0"/>
              <w:left w:val="single" w:color="auto" w:sz="4" w:space="0"/>
              <w:bottom w:val="single" w:color="auto" w:sz="4" w:space="0"/>
              <w:right w:val="single" w:color="auto" w:sz="4" w:space="0"/>
            </w:tcBorders>
            <w:vAlign w:val="center"/>
          </w:tcPr>
          <w:p w14:paraId="65E41CE6">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951" w:type="dxa"/>
            <w:tcBorders>
              <w:top w:val="nil"/>
              <w:left w:val="nil"/>
              <w:bottom w:val="single" w:color="auto" w:sz="4" w:space="0"/>
              <w:right w:val="single" w:color="auto" w:sz="4" w:space="0"/>
            </w:tcBorders>
            <w:vAlign w:val="center"/>
          </w:tcPr>
          <w:p w14:paraId="7B359990">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r>
      <w:tr w14:paraId="7C6D46EC">
        <w:tblPrEx>
          <w:tblCellMar>
            <w:top w:w="0" w:type="dxa"/>
            <w:left w:w="108" w:type="dxa"/>
            <w:bottom w:w="0" w:type="dxa"/>
            <w:right w:w="108" w:type="dxa"/>
          </w:tblCellMar>
        </w:tblPrEx>
        <w:trPr>
          <w:trHeight w:val="338" w:hRule="atLeast"/>
          <w:jc w:val="center"/>
        </w:trPr>
        <w:tc>
          <w:tcPr>
            <w:tcW w:w="755" w:type="dxa"/>
            <w:vMerge w:val="continue"/>
            <w:tcBorders>
              <w:left w:val="single" w:color="auto" w:sz="4" w:space="0"/>
              <w:right w:val="single" w:color="auto" w:sz="4" w:space="0"/>
            </w:tcBorders>
            <w:vAlign w:val="center"/>
          </w:tcPr>
          <w:p w14:paraId="2C5C77AE">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right w:val="single" w:color="auto" w:sz="4" w:space="0"/>
            </w:tcBorders>
            <w:vAlign w:val="center"/>
          </w:tcPr>
          <w:p w14:paraId="72681CCF">
            <w:pPr>
              <w:widowControl/>
              <w:adjustRightInd w:val="0"/>
              <w:snapToGrid w:val="0"/>
              <w:spacing w:line="260" w:lineRule="exact"/>
              <w:jc w:val="center"/>
              <w:rPr>
                <w:rFonts w:hint="eastAsia" w:ascii="宋体" w:hAnsi="宋体" w:cs="宋体"/>
                <w:color w:val="000000"/>
                <w:szCs w:val="21"/>
                <w:highlight w:val="none"/>
              </w:rPr>
            </w:pPr>
          </w:p>
        </w:tc>
        <w:tc>
          <w:tcPr>
            <w:tcW w:w="4596" w:type="dxa"/>
            <w:tcBorders>
              <w:top w:val="nil"/>
              <w:left w:val="nil"/>
              <w:bottom w:val="single" w:color="auto" w:sz="4" w:space="0"/>
              <w:right w:val="single" w:color="auto" w:sz="4" w:space="0"/>
            </w:tcBorders>
            <w:vAlign w:val="center"/>
          </w:tcPr>
          <w:p w14:paraId="3AB82706">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含量≥40%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有效成分含量≥40%，密度（20℃）1.2-1.4 g/cm³</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1F261FCC">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single" w:color="auto" w:sz="4" w:space="0"/>
              <w:left w:val="single" w:color="auto" w:sz="4" w:space="0"/>
              <w:bottom w:val="single" w:color="auto" w:sz="4" w:space="0"/>
              <w:right w:val="single" w:color="auto" w:sz="4" w:space="0"/>
            </w:tcBorders>
            <w:vAlign w:val="center"/>
          </w:tcPr>
          <w:p w14:paraId="4D5C0AF6">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951" w:type="dxa"/>
            <w:tcBorders>
              <w:top w:val="nil"/>
              <w:left w:val="nil"/>
              <w:bottom w:val="single" w:color="auto" w:sz="4" w:space="0"/>
              <w:right w:val="single" w:color="auto" w:sz="4" w:space="0"/>
            </w:tcBorders>
            <w:vAlign w:val="center"/>
          </w:tcPr>
          <w:p w14:paraId="5F1D6112">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r>
      <w:tr w14:paraId="38F33F3F">
        <w:tblPrEx>
          <w:tblCellMar>
            <w:top w:w="0" w:type="dxa"/>
            <w:left w:w="108" w:type="dxa"/>
            <w:bottom w:w="0" w:type="dxa"/>
            <w:right w:w="108" w:type="dxa"/>
          </w:tblCellMar>
        </w:tblPrEx>
        <w:trPr>
          <w:trHeight w:val="347" w:hRule="atLeast"/>
          <w:jc w:val="center"/>
        </w:trPr>
        <w:tc>
          <w:tcPr>
            <w:tcW w:w="755" w:type="dxa"/>
            <w:vMerge w:val="continue"/>
            <w:tcBorders>
              <w:left w:val="single" w:color="auto" w:sz="4" w:space="0"/>
              <w:bottom w:val="single" w:color="auto" w:sz="4" w:space="0"/>
              <w:right w:val="single" w:color="auto" w:sz="4" w:space="0"/>
            </w:tcBorders>
            <w:vAlign w:val="center"/>
          </w:tcPr>
          <w:p w14:paraId="0746CBB8">
            <w:pPr>
              <w:widowControl/>
              <w:adjustRightInd w:val="0"/>
              <w:snapToGrid w:val="0"/>
              <w:spacing w:line="260" w:lineRule="exact"/>
              <w:jc w:val="center"/>
              <w:rPr>
                <w:rFonts w:hint="eastAsia" w:ascii="宋体" w:hAnsi="宋体" w:cs="宋体"/>
                <w:color w:val="000000"/>
                <w:kern w:val="0"/>
                <w:szCs w:val="21"/>
                <w:highlight w:val="none"/>
              </w:rPr>
            </w:pPr>
          </w:p>
        </w:tc>
        <w:tc>
          <w:tcPr>
            <w:tcW w:w="1334" w:type="dxa"/>
            <w:vMerge w:val="continue"/>
            <w:tcBorders>
              <w:left w:val="nil"/>
              <w:bottom w:val="single" w:color="auto" w:sz="4" w:space="0"/>
              <w:right w:val="single" w:color="auto" w:sz="4" w:space="0"/>
            </w:tcBorders>
            <w:vAlign w:val="center"/>
          </w:tcPr>
          <w:p w14:paraId="4201F3C9">
            <w:pPr>
              <w:widowControl/>
              <w:adjustRightInd w:val="0"/>
              <w:snapToGrid w:val="0"/>
              <w:spacing w:line="260" w:lineRule="exact"/>
              <w:jc w:val="center"/>
              <w:rPr>
                <w:rFonts w:hint="eastAsia" w:ascii="宋体" w:hAnsi="宋体" w:cs="宋体"/>
                <w:color w:val="000000"/>
                <w:szCs w:val="21"/>
                <w:highlight w:val="none"/>
              </w:rPr>
            </w:pPr>
          </w:p>
        </w:tc>
        <w:tc>
          <w:tcPr>
            <w:tcW w:w="4596" w:type="dxa"/>
            <w:tcBorders>
              <w:top w:val="nil"/>
              <w:left w:val="nil"/>
              <w:bottom w:val="single" w:color="auto" w:sz="4" w:space="0"/>
              <w:right w:val="single" w:color="auto" w:sz="4" w:space="0"/>
            </w:tcBorders>
            <w:vAlign w:val="center"/>
          </w:tcPr>
          <w:p w14:paraId="1821F39F">
            <w:pPr>
              <w:widowControl/>
              <w:adjustRightInd w:val="0"/>
              <w:snapToGrid w:val="0"/>
              <w:spacing w:line="2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固含量≥15%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固含量≥15%，镍去除率≥99%</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5FF24AB9">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522" w:type="dxa"/>
            <w:tcBorders>
              <w:top w:val="nil"/>
              <w:left w:val="single" w:color="auto" w:sz="4" w:space="0"/>
              <w:bottom w:val="single" w:color="auto" w:sz="4" w:space="0"/>
              <w:right w:val="single" w:color="auto" w:sz="4" w:space="0"/>
            </w:tcBorders>
            <w:vAlign w:val="center"/>
          </w:tcPr>
          <w:p w14:paraId="4859C873">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951" w:type="dxa"/>
            <w:tcBorders>
              <w:top w:val="nil"/>
              <w:left w:val="nil"/>
              <w:bottom w:val="single" w:color="auto" w:sz="4" w:space="0"/>
              <w:right w:val="single" w:color="auto" w:sz="4" w:space="0"/>
            </w:tcBorders>
            <w:vAlign w:val="center"/>
          </w:tcPr>
          <w:p w14:paraId="376BB1A1">
            <w:pPr>
              <w:widowControl/>
              <w:adjustRightInd w:val="0"/>
              <w:snapToGrid w:val="0"/>
              <w:spacing w:line="2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r>
      <w:bookmarkEnd w:id="0"/>
    </w:tbl>
    <w:p w14:paraId="4D37B871">
      <w:pPr>
        <w:adjustRightInd w:val="0"/>
        <w:snapToGrid w:val="0"/>
        <w:spacing w:line="460" w:lineRule="exact"/>
        <w:ind w:firstLine="420" w:firstLineChars="200"/>
        <w:rPr>
          <w:rFonts w:hint="eastAsia" w:ascii="宋体" w:hAnsi="宋体" w:eastAsia="宋体" w:cs="宋体"/>
          <w:szCs w:val="21"/>
          <w:lang w:eastAsia="zh-CN" w:bidi="ar"/>
        </w:rPr>
      </w:pPr>
      <w:r>
        <w:rPr>
          <w:rFonts w:hint="eastAsia" w:ascii="宋体" w:hAnsi="宋体" w:cs="宋体"/>
          <w:szCs w:val="21"/>
          <w:lang w:bidi="ar"/>
        </w:rPr>
        <w:t>注：供应商须针对药品序号1（次钠），</w:t>
      </w:r>
      <w:r>
        <w:rPr>
          <w:rFonts w:hint="eastAsia" w:ascii="宋体" w:hAnsi="宋体" w:cs="宋体"/>
          <w:szCs w:val="21"/>
          <w:lang w:val="en-US" w:eastAsia="zh-CN" w:bidi="ar"/>
        </w:rPr>
        <w:t>须</w:t>
      </w:r>
      <w:r>
        <w:rPr>
          <w:rFonts w:hint="eastAsia" w:ascii="宋体" w:hAnsi="宋体" w:cs="宋体"/>
          <w:szCs w:val="21"/>
          <w:lang w:bidi="ar"/>
        </w:rPr>
        <w:t>提供三个不同生产厂家的</w:t>
      </w:r>
      <w:r>
        <w:rPr>
          <w:rFonts w:hint="eastAsia" w:ascii="宋体" w:hAnsi="宋体" w:cs="宋体"/>
          <w:szCs w:val="21"/>
          <w:lang w:val="en-US" w:eastAsia="zh-CN" w:bidi="ar"/>
        </w:rPr>
        <w:t>产品</w:t>
      </w:r>
      <w:r>
        <w:rPr>
          <w:rFonts w:hint="eastAsia" w:ascii="宋体" w:hAnsi="宋体" w:cs="宋体"/>
          <w:szCs w:val="21"/>
          <w:lang w:bidi="ar"/>
        </w:rPr>
        <w:t>。所有</w:t>
      </w:r>
      <w:r>
        <w:rPr>
          <w:rFonts w:hint="eastAsia" w:ascii="宋体" w:hAnsi="宋体" w:cs="宋体"/>
          <w:szCs w:val="21"/>
          <w:lang w:val="en-US" w:eastAsia="zh-CN" w:bidi="ar"/>
        </w:rPr>
        <w:t>投标</w:t>
      </w:r>
      <w:r>
        <w:rPr>
          <w:rFonts w:hint="eastAsia" w:ascii="宋体" w:hAnsi="宋体" w:cs="宋体"/>
          <w:szCs w:val="21"/>
          <w:lang w:bidi="ar"/>
        </w:rPr>
        <w:t>厂家及其产品必须完全满足本询价文件所列的全部药品形态参数要求</w:t>
      </w:r>
      <w:r>
        <w:rPr>
          <w:rFonts w:hint="eastAsia" w:ascii="宋体" w:hAnsi="宋体" w:cs="宋体"/>
          <w:szCs w:val="21"/>
          <w:lang w:eastAsia="zh-CN" w:bidi="ar"/>
        </w:rPr>
        <w:t>。</w:t>
      </w:r>
    </w:p>
    <w:p w14:paraId="0C8842B9">
      <w:pPr>
        <w:adjustRightInd w:val="0"/>
        <w:snapToGrid w:val="0"/>
        <w:spacing w:line="460" w:lineRule="exact"/>
        <w:ind w:firstLine="420" w:firstLineChars="200"/>
        <w:rPr>
          <w:rFonts w:hint="eastAsia" w:ascii="宋体" w:hAnsi="宋体" w:cs="宋体"/>
          <w:szCs w:val="21"/>
          <w:lang w:bidi="ar"/>
        </w:rPr>
      </w:pPr>
      <w:r>
        <w:rPr>
          <w:rFonts w:hint="eastAsia" w:ascii="宋体" w:hAnsi="宋体" w:cs="宋体"/>
          <w:szCs w:val="21"/>
          <w:lang w:bidi="ar"/>
        </w:rPr>
        <w:t>2、负责药剂的包装、运输、送货上门，确保货物在约定时间内送达指定地点，且运输过程中无质量损耗，不同规格型号药剂需单独包装并标注清晰；</w:t>
      </w:r>
    </w:p>
    <w:p w14:paraId="62746F13">
      <w:pPr>
        <w:adjustRightInd w:val="0"/>
        <w:snapToGrid w:val="0"/>
        <w:spacing w:line="460" w:lineRule="exact"/>
        <w:ind w:firstLine="420" w:firstLineChars="200"/>
        <w:rPr>
          <w:rFonts w:hint="eastAsia" w:ascii="宋体" w:hAnsi="宋体" w:cs="宋体"/>
          <w:szCs w:val="21"/>
          <w:lang w:bidi="ar"/>
        </w:rPr>
      </w:pPr>
      <w:r>
        <w:rPr>
          <w:rFonts w:hint="eastAsia" w:ascii="宋体" w:hAnsi="宋体" w:cs="宋体"/>
          <w:szCs w:val="21"/>
          <w:lang w:bidi="ar"/>
        </w:rPr>
        <w:t>3、提供产品质量合格证明文件及相关技术资料，配合采购方进行质量抽检及实验过程中的技术支持；</w:t>
      </w:r>
    </w:p>
    <w:p w14:paraId="27D60AC3">
      <w:pPr>
        <w:adjustRightInd w:val="0"/>
        <w:snapToGrid w:val="0"/>
        <w:spacing w:line="460" w:lineRule="exact"/>
        <w:ind w:firstLine="420" w:firstLineChars="200"/>
        <w:rPr>
          <w:rFonts w:hint="eastAsia" w:ascii="宋体" w:hAnsi="宋体" w:cs="宋体"/>
          <w:szCs w:val="21"/>
          <w:lang w:bidi="ar"/>
        </w:rPr>
      </w:pPr>
      <w:r>
        <w:rPr>
          <w:rFonts w:hint="eastAsia" w:ascii="宋体" w:hAnsi="宋体" w:cs="宋体"/>
          <w:szCs w:val="21"/>
          <w:lang w:bidi="ar"/>
        </w:rPr>
        <w:t>4、建立应急供货机制，响应采购方临时补货需求；</w:t>
      </w:r>
    </w:p>
    <w:p w14:paraId="5967B307">
      <w:pPr>
        <w:adjustRightInd w:val="0"/>
        <w:snapToGrid w:val="0"/>
        <w:spacing w:line="460" w:lineRule="exact"/>
        <w:ind w:firstLine="420" w:firstLineChars="200"/>
        <w:rPr>
          <w:rFonts w:hint="eastAsia" w:ascii="宋体" w:hAnsi="宋体" w:cs="宋体"/>
          <w:szCs w:val="21"/>
          <w:lang w:bidi="ar"/>
        </w:rPr>
      </w:pPr>
      <w:r>
        <w:rPr>
          <w:rFonts w:hint="eastAsia" w:ascii="宋体" w:hAnsi="宋体" w:cs="宋体"/>
          <w:szCs w:val="21"/>
          <w:lang w:bidi="ar"/>
        </w:rPr>
        <w:t>5、负责提供各类药剂不同规格型号的使用说明、适配工艺参数指导，配合完成实验数据记录与分析。</w:t>
      </w:r>
    </w:p>
    <w:p w14:paraId="2E226BBA">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十、报价规则</w:t>
      </w:r>
    </w:p>
    <w:p w14:paraId="306CE8B2">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kern w:val="0"/>
          <w:szCs w:val="21"/>
          <w:lang w:bidi="ar"/>
        </w:rPr>
        <w:t>本项目投标报价为</w:t>
      </w:r>
      <w:r>
        <w:rPr>
          <w:rFonts w:hint="eastAsia" w:ascii="宋体" w:hAnsi="宋体" w:cs="宋体"/>
          <w:b/>
          <w:bCs/>
          <w:kern w:val="0"/>
          <w:szCs w:val="21"/>
          <w:lang w:bidi="ar"/>
        </w:rPr>
        <w:t>固定全费用单价</w:t>
      </w:r>
      <w:r>
        <w:rPr>
          <w:rFonts w:hint="eastAsia" w:ascii="宋体" w:hAnsi="宋体" w:cs="宋体"/>
          <w:kern w:val="0"/>
          <w:szCs w:val="21"/>
          <w:lang w:bidi="ar"/>
        </w:rPr>
        <w:t>，</w:t>
      </w:r>
      <w:r>
        <w:rPr>
          <w:rFonts w:hint="eastAsia" w:ascii="宋体" w:hAnsi="宋体" w:cs="宋体"/>
          <w:szCs w:val="21"/>
          <w:lang w:bidi="ar"/>
        </w:rPr>
        <w:t>投标价应包括招标文件所确定的招标范围相应服务的提供、人员（包括工资和补贴）、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769A3CE8">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十一、保密要求</w:t>
      </w:r>
    </w:p>
    <w:p w14:paraId="161F86E5">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（一）成交供应商负责对采购人所提供资料及最终成果保密，成交供应商及其专业技术人员需遵守采购人的保密规定，不以任何形式将收集的所有资料、数据等进行泄漏、传播；</w:t>
      </w:r>
    </w:p>
    <w:p w14:paraId="5286C759">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（二）项目成果所有权归属采购人，在项目完成时成交供应商必须全部移交，不得以任何形式公开项目信息；</w:t>
      </w:r>
    </w:p>
    <w:p w14:paraId="179A781A">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（三）成交供应商须维护项目服务成果，不得转让给第三方重复使用；</w:t>
      </w:r>
    </w:p>
    <w:p w14:paraId="1BFE3DF6">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（四）以上保密规定如有违反，采购人有权追究成交供应商相关法律责任并有权不进行费用结算。</w:t>
      </w:r>
    </w:p>
    <w:p w14:paraId="5ACA6281">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十二、付款方式及考核</w:t>
      </w:r>
    </w:p>
    <w:p w14:paraId="2131D55E">
      <w:pPr>
        <w:autoSpaceDE w:val="0"/>
        <w:spacing w:line="440" w:lineRule="exact"/>
        <w:ind w:firstLine="420" w:firstLineChars="200"/>
        <w:rPr>
          <w:rFonts w:hint="eastAsia" w:ascii="宋体" w:hAnsi="宋体" w:cs="宋体"/>
          <w:szCs w:val="21"/>
          <w:highlight w:val="none"/>
          <w:lang w:bidi="ar"/>
        </w:rPr>
      </w:pPr>
      <w:bookmarkStart w:id="1" w:name="_Toc322435823"/>
      <w:bookmarkStart w:id="2" w:name="_Toc322436048"/>
      <w:bookmarkStart w:id="3" w:name="_Toc330998556"/>
      <w:bookmarkStart w:id="4" w:name="_Toc331061664"/>
      <w:bookmarkStart w:id="5" w:name="_Toc322436228"/>
      <w:bookmarkStart w:id="6" w:name="_Toc322435993"/>
      <w:r>
        <w:rPr>
          <w:rFonts w:hint="eastAsia" w:ascii="宋体" w:hAnsi="宋体" w:cs="宋体"/>
          <w:szCs w:val="21"/>
          <w:highlight w:val="none"/>
          <w:lang w:bidi="ar"/>
        </w:rPr>
        <w:t>（一）付款方式</w:t>
      </w:r>
    </w:p>
    <w:p w14:paraId="41479C43">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1、按月度结算服务费，根据实际供货数量及合同约定单价进行核算； </w:t>
      </w:r>
    </w:p>
    <w:p w14:paraId="734280F7">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2、每月度结束后10日内，采购方对供货情况、产品质量（含非标药剂使用效果）进行考核，15日内结合考核结果支付对应款项； </w:t>
      </w:r>
    </w:p>
    <w:p w14:paraId="595A80A2">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3、供应商每次付款前需开具相应金额的增值税专用发票。</w:t>
      </w:r>
    </w:p>
    <w:p w14:paraId="35DFEDBA">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（二）支付考核（考核表详见合同附件）</w:t>
      </w:r>
    </w:p>
    <w:p w14:paraId="3DB87D92">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1、考核周期：每月一次，结合结算工作同步开展；</w:t>
      </w:r>
    </w:p>
    <w:p w14:paraId="21F096BE">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2、考核内容：包括产品质量（70分）、供货及时性（15分）、服务响应（10分）、单据准确性（5分），总分100分；</w:t>
      </w:r>
    </w:p>
    <w:p w14:paraId="613F533E">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3、结果应用：95分及以上按合同金额100%支付，90-94分按95%支付，80-89分按90%支付，80分以下暂停合作并要求整改，整改不合格解除合同。</w:t>
      </w:r>
    </w:p>
    <w:p w14:paraId="7267C302">
      <w:pPr>
        <w:spacing w:line="460" w:lineRule="exact"/>
        <w:rPr>
          <w:rFonts w:hint="eastAsia" w:ascii="宋体" w:hAnsi="宋体" w:cs="宋体"/>
          <w:b/>
          <w:bCs/>
          <w:szCs w:val="21"/>
          <w:highlight w:val="none"/>
        </w:rPr>
      </w:pPr>
      <w:r>
        <w:rPr>
          <w:rFonts w:hint="eastAsia" w:ascii="宋体" w:hAnsi="宋体" w:cs="宋体"/>
          <w:b/>
          <w:bCs/>
          <w:szCs w:val="21"/>
          <w:highlight w:val="none"/>
        </w:rPr>
        <w:t>十四、评标办法</w:t>
      </w:r>
    </w:p>
    <w:p w14:paraId="52F8BC00">
      <w:pPr>
        <w:spacing w:line="4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本项目为询价项目，采用现场询价，确定中标（成交）单位原则：最低价评标法。</w:t>
      </w:r>
      <w:bookmarkEnd w:id="1"/>
      <w:bookmarkEnd w:id="2"/>
      <w:bookmarkEnd w:id="3"/>
      <w:bookmarkEnd w:id="4"/>
      <w:bookmarkEnd w:id="5"/>
      <w:bookmarkEnd w:id="6"/>
      <w:r>
        <w:rPr>
          <w:rFonts w:ascii="宋体" w:hAnsi="宋体" w:cs="宋体"/>
          <w:b/>
          <w:bCs/>
          <w:szCs w:val="21"/>
          <w:highlight w:val="none"/>
        </w:rPr>
        <w:t>若投标单位报价的税率不一致时，以</w:t>
      </w:r>
      <w:r>
        <w:rPr>
          <w:rFonts w:hint="eastAsia" w:ascii="宋体" w:hAnsi="宋体" w:cs="宋体"/>
          <w:b/>
          <w:bCs/>
          <w:szCs w:val="21"/>
          <w:highlight w:val="none"/>
        </w:rPr>
        <w:t>不含税</w:t>
      </w:r>
      <w:r>
        <w:rPr>
          <w:rFonts w:ascii="宋体" w:hAnsi="宋体" w:cs="宋体"/>
          <w:b/>
          <w:bCs/>
          <w:szCs w:val="21"/>
          <w:highlight w:val="none"/>
        </w:rPr>
        <w:t>价进行评标</w:t>
      </w:r>
      <w:r>
        <w:rPr>
          <w:rFonts w:hint="eastAsia" w:ascii="宋体" w:hAnsi="宋体" w:cs="宋体"/>
          <w:b/>
          <w:bCs/>
          <w:szCs w:val="21"/>
          <w:highlight w:val="none"/>
        </w:rPr>
        <w:t>，</w:t>
      </w:r>
      <w:r>
        <w:rPr>
          <w:rFonts w:ascii="宋体" w:hAnsi="宋体" w:cs="宋体"/>
          <w:b/>
          <w:bCs/>
          <w:szCs w:val="21"/>
          <w:highlight w:val="none"/>
        </w:rPr>
        <w:t>参与价格分的计算。</w:t>
      </w:r>
    </w:p>
    <w:p w14:paraId="02C8C8EC">
      <w:pPr>
        <w:spacing w:line="420" w:lineRule="exact"/>
        <w:jc w:val="center"/>
        <w:rPr>
          <w:rFonts w:hint="eastAsia" w:ascii="宋体" w:hAnsi="宋体" w:cs="宋体"/>
          <w:b/>
          <w:bCs/>
          <w:kern w:val="0"/>
          <w:sz w:val="30"/>
          <w:szCs w:val="30"/>
          <w:highlight w:val="none"/>
        </w:rPr>
      </w:pPr>
    </w:p>
    <w:p w14:paraId="5059CD38">
      <w:pPr>
        <w:spacing w:line="420" w:lineRule="exact"/>
        <w:jc w:val="center"/>
        <w:rPr>
          <w:rFonts w:hint="eastAsia" w:ascii="宋体" w:hAnsi="宋体" w:cs="宋体"/>
          <w:b/>
          <w:bCs/>
          <w:kern w:val="0"/>
          <w:sz w:val="30"/>
          <w:szCs w:val="30"/>
        </w:rPr>
      </w:pPr>
      <w:r>
        <w:rPr>
          <w:rFonts w:hint="eastAsia" w:ascii="宋体" w:hAnsi="宋体" w:cs="宋体"/>
          <w:b/>
          <w:bCs/>
          <w:kern w:val="0"/>
          <w:sz w:val="30"/>
          <w:szCs w:val="30"/>
        </w:rPr>
        <w:t>合同主要条款</w:t>
      </w:r>
    </w:p>
    <w:p w14:paraId="4621224B">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p>
    <w:p w14:paraId="638C7F12">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p>
    <w:p w14:paraId="42F19CB8">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r>
        <w:rPr>
          <w:rFonts w:hint="eastAsia" w:ascii="黑体" w:hAnsi="黑体" w:eastAsia="黑体" w:cs="黑体"/>
          <w:bCs/>
          <w:sz w:val="52"/>
          <w:szCs w:val="52"/>
        </w:rPr>
        <w:t>药剂采购合同</w:t>
      </w:r>
    </w:p>
    <w:p w14:paraId="4C274142">
      <w:pPr>
        <w:ind w:left="1470" w:leftChars="700"/>
        <w:jc w:val="left"/>
        <w:rPr>
          <w:rFonts w:hint="eastAsia" w:ascii="黑体" w:hAnsi="黑体" w:eastAsia="黑体"/>
          <w:b/>
          <w:bCs/>
          <w:sz w:val="32"/>
        </w:rPr>
      </w:pPr>
    </w:p>
    <w:p w14:paraId="0A811829">
      <w:pPr>
        <w:ind w:left="1470" w:leftChars="700"/>
        <w:jc w:val="left"/>
        <w:rPr>
          <w:rFonts w:hint="eastAsia" w:ascii="黑体" w:hAnsi="黑体" w:eastAsia="黑体"/>
          <w:b/>
          <w:bCs/>
          <w:sz w:val="32"/>
        </w:rPr>
      </w:pPr>
    </w:p>
    <w:p w14:paraId="7F5D2E21">
      <w:pPr>
        <w:ind w:left="1470" w:leftChars="700"/>
        <w:jc w:val="left"/>
        <w:rPr>
          <w:rFonts w:hint="eastAsia" w:ascii="黑体" w:hAnsi="黑体" w:eastAsia="黑体"/>
          <w:b/>
          <w:sz w:val="28"/>
          <w:szCs w:val="28"/>
        </w:rPr>
      </w:pPr>
    </w:p>
    <w:p w14:paraId="29E05C21">
      <w:pPr>
        <w:spacing w:line="480" w:lineRule="auto"/>
        <w:jc w:val="left"/>
        <w:rPr>
          <w:rFonts w:hint="eastAsia" w:ascii="黑体" w:hAnsi="黑体" w:eastAsia="黑体" w:cs="黑体"/>
          <w:sz w:val="32"/>
          <w:szCs w:val="32"/>
        </w:rPr>
      </w:pPr>
      <w:r>
        <w:rPr>
          <w:rFonts w:hint="eastAsia" w:ascii="黑体" w:hAnsi="黑体" w:eastAsia="黑体" w:cs="黑体"/>
          <w:sz w:val="32"/>
          <w:szCs w:val="32"/>
        </w:rPr>
        <w:t>合同编号：</w:t>
      </w:r>
    </w:p>
    <w:p w14:paraId="21259F3E">
      <w:pPr>
        <w:widowControl/>
        <w:autoSpaceDE w:val="0"/>
        <w:autoSpaceDN w:val="0"/>
        <w:adjustRightInd w:val="0"/>
        <w:spacing w:line="480" w:lineRule="auto"/>
        <w:rPr>
          <w:rFonts w:hint="eastAsia" w:ascii="黑体" w:hAnsi="黑体" w:eastAsia="黑体" w:cs="黑体"/>
          <w:sz w:val="32"/>
          <w:szCs w:val="32"/>
        </w:rPr>
      </w:pPr>
      <w:r>
        <w:rPr>
          <w:rFonts w:hint="eastAsia" w:ascii="黑体" w:hAnsi="黑体" w:eastAsia="黑体" w:cs="黑体"/>
          <w:sz w:val="32"/>
          <w:szCs w:val="32"/>
        </w:rPr>
        <w:t>签订日期：</w:t>
      </w:r>
    </w:p>
    <w:p w14:paraId="033AAE2B">
      <w:pPr>
        <w:pStyle w:val="12"/>
        <w:spacing w:line="600" w:lineRule="auto"/>
      </w:pPr>
      <w:r>
        <w:rPr>
          <w:rFonts w:hint="eastAsia" w:ascii="黑体" w:hAnsi="黑体" w:eastAsia="黑体" w:cs="黑体"/>
          <w:sz w:val="32"/>
          <w:szCs w:val="32"/>
        </w:rPr>
        <w:t>签订地点：</w:t>
      </w:r>
    </w:p>
    <w:p w14:paraId="3FAE707F">
      <w:r>
        <w:rPr>
          <w:rFonts w:hint="eastAsia"/>
        </w:rPr>
        <w:br w:type="page"/>
      </w:r>
    </w:p>
    <w:p w14:paraId="1E9CC90E">
      <w:pPr>
        <w:widowControl/>
        <w:spacing w:before="312" w:beforeLines="100" w:after="468" w:afterLines="150" w:line="440" w:lineRule="exact"/>
        <w:jc w:val="center"/>
        <w:rPr>
          <w:rFonts w:ascii="仿宋_GB2312" w:hAnsi="Bookman Old Style" w:eastAsia="仿宋_GB2312"/>
          <w:b/>
          <w:bCs/>
          <w:sz w:val="28"/>
          <w:szCs w:val="28"/>
        </w:rPr>
      </w:pPr>
      <w:r>
        <w:rPr>
          <w:rFonts w:hint="eastAsia" w:ascii="黑体" w:hAnsi="黑体" w:eastAsia="黑体" w:cs="黑体"/>
          <w:sz w:val="28"/>
          <w:szCs w:val="28"/>
        </w:rPr>
        <w:t>采  购  合  同</w:t>
      </w:r>
    </w:p>
    <w:p w14:paraId="7FD9DFA5">
      <w:pPr>
        <w:spacing w:line="360" w:lineRule="auto"/>
        <w:rPr>
          <w:rFonts w:hint="eastAsia" w:ascii="宋体" w:hAnsi="宋体" w:cs="宋体"/>
          <w:szCs w:val="21"/>
        </w:rPr>
      </w:pPr>
      <w:r>
        <w:rPr>
          <w:rFonts w:hint="eastAsia" w:ascii="宋体" w:hAnsi="宋体" w:cs="宋体"/>
          <w:b/>
          <w:kern w:val="0"/>
          <w:szCs w:val="21"/>
        </w:rPr>
        <w:t>甲方：</w:t>
      </w:r>
      <w:r>
        <w:rPr>
          <w:rFonts w:hint="eastAsia" w:ascii="宋体" w:hAnsi="宋体" w:cs="宋体"/>
          <w:szCs w:val="21"/>
          <w:u w:val="single"/>
          <w:lang w:bidi="ar"/>
        </w:rPr>
        <w:t>江苏中吴常高新环保产业有限公司</w:t>
      </w:r>
    </w:p>
    <w:p w14:paraId="6465BAAB">
      <w:pPr>
        <w:spacing w:line="360" w:lineRule="auto"/>
        <w:rPr>
          <w:rFonts w:hint="eastAsia" w:ascii="宋体" w:hAnsi="宋体" w:cs="宋体"/>
          <w:szCs w:val="21"/>
        </w:rPr>
      </w:pPr>
      <w:r>
        <w:rPr>
          <w:rFonts w:hint="eastAsia" w:ascii="宋体" w:hAnsi="宋体" w:cs="宋体"/>
          <w:b/>
          <w:kern w:val="0"/>
          <w:szCs w:val="21"/>
        </w:rPr>
        <w:t>乙方：</w:t>
      </w:r>
      <w:r>
        <w:rPr>
          <w:rFonts w:hint="eastAsia" w:ascii="宋体" w:hAnsi="宋体" w:cs="宋体"/>
          <w:szCs w:val="21"/>
          <w:u w:val="single"/>
        </w:rPr>
        <w:t xml:space="preserve">                              </w:t>
      </w:r>
    </w:p>
    <w:p w14:paraId="2DB72A88">
      <w:pPr>
        <w:spacing w:line="360" w:lineRule="auto"/>
        <w:ind w:firstLine="420" w:firstLineChars="200"/>
        <w:rPr>
          <w:rFonts w:hint="eastAsia" w:ascii="宋体" w:hAnsi="宋体" w:cs="宋体"/>
          <w:szCs w:val="21"/>
        </w:rPr>
      </w:pPr>
      <w:r>
        <w:rPr>
          <w:rFonts w:hint="eastAsia" w:ascii="宋体" w:hAnsi="宋体" w:cs="宋体"/>
          <w:szCs w:val="21"/>
        </w:rPr>
        <w:t>经甲乙双方协商一致，甲方同意购进、乙方同意出售下列药剂，并按下列条款签订本合同：</w:t>
      </w:r>
    </w:p>
    <w:p w14:paraId="66E77946">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药剂、数量、价格</w:t>
      </w:r>
    </w:p>
    <w:p w14:paraId="59245269">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药剂价格表（详见附表1）</w:t>
      </w:r>
    </w:p>
    <w:p w14:paraId="617A7A22">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自合同签订之日起 4个月。</w:t>
      </w:r>
    </w:p>
    <w:p w14:paraId="32AC4B16">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lang w:bidi="ar"/>
        </w:rPr>
        <w:t>江苏中吴常高新环保产业有限公司</w:t>
      </w:r>
    </w:p>
    <w:p w14:paraId="16C95194">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position w:val="2"/>
          <w:szCs w:val="21"/>
          <w:highlight w:val="none"/>
        </w:rPr>
        <w:t>本合同含增值税总金额不超过：元(人民币大写：</w:t>
      </w:r>
      <w:r>
        <w:rPr>
          <w:rFonts w:hint="eastAsia" w:ascii="宋体" w:hAnsi="宋体" w:cs="宋体"/>
          <w:position w:val="2"/>
          <w:szCs w:val="21"/>
          <w:highlight w:val="none"/>
          <w:u w:val="single"/>
        </w:rPr>
        <w:t>元整</w:t>
      </w:r>
      <w:r>
        <w:rPr>
          <w:rFonts w:hint="eastAsia" w:ascii="宋体" w:hAnsi="宋体" w:cs="宋体"/>
          <w:position w:val="2"/>
          <w:szCs w:val="21"/>
          <w:highlight w:val="none"/>
        </w:rPr>
        <w:t>)，含</w:t>
      </w:r>
      <w:r>
        <w:rPr>
          <w:rFonts w:hint="eastAsia" w:ascii="宋体" w:hAnsi="宋体" w:cs="宋体"/>
          <w:position w:val="2"/>
          <w:szCs w:val="21"/>
          <w:highlight w:val="none"/>
          <w:u w:val="single"/>
        </w:rPr>
        <w:t xml:space="preserve">   %</w:t>
      </w:r>
      <w:r>
        <w:rPr>
          <w:rFonts w:hint="eastAsia" w:ascii="宋体" w:hAnsi="宋体" w:cs="宋体"/>
          <w:position w:val="2"/>
          <w:szCs w:val="21"/>
          <w:highlight w:val="none"/>
        </w:rPr>
        <w:t>的增值税，增值税税额不超过：元(人民币大写：)；本合同不含增值税总金额不超过：元(人民币大写：)</w:t>
      </w:r>
      <w:r>
        <w:rPr>
          <w:rFonts w:hint="eastAsia" w:ascii="宋体" w:hAnsi="宋体" w:cs="宋体"/>
          <w:szCs w:val="21"/>
          <w:highlight w:val="none"/>
        </w:rPr>
        <w:t>。</w:t>
      </w:r>
    </w:p>
    <w:p w14:paraId="444B524A">
      <w:pPr>
        <w:numPr>
          <w:ilvl w:val="0"/>
          <w:numId w:val="4"/>
        </w:numPr>
        <w:tabs>
          <w:tab w:val="left" w:pos="640"/>
        </w:tabs>
        <w:spacing w:line="360" w:lineRule="auto"/>
        <w:ind w:left="0" w:firstLine="0"/>
        <w:rPr>
          <w:rFonts w:hint="eastAsia" w:ascii="宋体" w:hAnsi="宋体" w:cs="宋体"/>
          <w:szCs w:val="21"/>
          <w:highlight w:val="none"/>
        </w:rPr>
      </w:pPr>
      <w:bookmarkStart w:id="7" w:name="auto_fouce_3"/>
      <w:r>
        <w:rPr>
          <w:rFonts w:hint="eastAsia" w:ascii="宋体" w:hAnsi="宋体" w:cs="宋体"/>
          <w:szCs w:val="21"/>
          <w:highlight w:val="none"/>
        </w:rPr>
        <w:t>不含税价包括但不限于合同药剂的生产成本、包装费、运输费、装卸费、保险费、仓储费、配送费、质保期内的更换及服务费用、配合甲方实验的相关费用等乙方履行本合同义务所需的全部费用。</w:t>
      </w:r>
      <w:r>
        <w:rPr>
          <w:rFonts w:hint="eastAsia" w:ascii="宋体" w:hAnsi="宋体" w:cs="宋体"/>
          <w:position w:val="2"/>
          <w:szCs w:val="21"/>
          <w:highlight w:val="none"/>
        </w:rPr>
        <w:t>增值税金按照合同签订时国家税收相关政策规定的适用税率执行，如果在合同执行期间因国家税收政策调整使得增值税税率变化，乙方的增值税纳税义务发生时间在税率调整日前的，应按原税率执行；乙方的增值税纳税义务发生时间在税率调整日（含）以后的，按调整后税率执行，按规定可执行原税率的除外。因乙方未及时开具发票给甲方造成损失的，由乙方承担赔偿责任。</w:t>
      </w:r>
      <w:bookmarkEnd w:id="7"/>
    </w:p>
    <w:p w14:paraId="18A0AB37">
      <w:pPr>
        <w:numPr>
          <w:ilvl w:val="0"/>
          <w:numId w:val="4"/>
        </w:numPr>
        <w:tabs>
          <w:tab w:val="left" w:pos="640"/>
        </w:tabs>
        <w:spacing w:line="360" w:lineRule="auto"/>
        <w:ind w:left="0" w:firstLine="0"/>
        <w:rPr>
          <w:rFonts w:hint="eastAsia" w:ascii="宋体" w:hAnsi="宋体" w:cs="宋体"/>
          <w:szCs w:val="21"/>
          <w:highlight w:val="none"/>
        </w:rPr>
      </w:pPr>
      <w:bookmarkStart w:id="8" w:name="auto_fouce_4"/>
      <w:r>
        <w:rPr>
          <w:rFonts w:hint="eastAsia" w:ascii="宋体" w:hAnsi="宋体" w:cs="宋体"/>
          <w:szCs w:val="21"/>
          <w:highlight w:val="none"/>
        </w:rPr>
        <w:t>除合同另有约定外，在合同执行期内，仅当药剂的不含税市场价格较本合同约定的基准单价下降5%（含5%）及以上时，甲方有权要求本合同约定的药剂采购单价根据实际价格波动幅度作相应同比例下调；若市场价格上涨或波动幅度不足5%，本合同约定的药剂采购单价均保持不变，不因市场价格变化、政策调整、不可抗力事件或其他任何因素而调整，相关价格风险由乙方承担。</w:t>
      </w:r>
      <w:bookmarkEnd w:id="8"/>
    </w:p>
    <w:p w14:paraId="66D517A6">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合同总价包括药剂费、包装费，以及从供方到需方指定的目的地的运杂费、装卸费、保险费和供方依法交纳的税金。为甲方取得本合同项下药剂所有权并使用所应支付的全部费用。</w:t>
      </w:r>
    </w:p>
    <w:p w14:paraId="17F91DC3">
      <w:pPr>
        <w:widowControl/>
        <w:numPr>
          <w:ilvl w:val="0"/>
          <w:numId w:val="3"/>
        </w:numPr>
        <w:spacing w:line="720" w:lineRule="auto"/>
        <w:jc w:val="left"/>
        <w:rPr>
          <w:rFonts w:hint="eastAsia" w:ascii="宋体" w:hAnsi="宋体" w:cs="宋体"/>
          <w:szCs w:val="21"/>
          <w:highlight w:val="none"/>
        </w:rPr>
      </w:pPr>
      <w:r>
        <w:rPr>
          <w:rFonts w:hint="eastAsia" w:ascii="宋体" w:hAnsi="宋体" w:cs="宋体"/>
          <w:bCs/>
          <w:szCs w:val="21"/>
          <w:highlight w:val="none"/>
        </w:rPr>
        <w:t>履约保证金</w:t>
      </w:r>
    </w:p>
    <w:p w14:paraId="4AF78F3E">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2.1乙方应按规定提交履约保证金。</w:t>
      </w:r>
    </w:p>
    <w:p w14:paraId="163F095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2.2</w:t>
      </w:r>
      <w:bookmarkStart w:id="9" w:name="tip_risk_bookmark_6"/>
      <w:bookmarkStart w:id="10" w:name="auto_fouce_5"/>
      <w:r>
        <w:rPr>
          <w:rFonts w:hint="eastAsia" w:ascii="宋体" w:hAnsi="宋体" w:cs="宋体"/>
          <w:szCs w:val="21"/>
          <w:highlight w:val="none"/>
        </w:rPr>
        <w:t>乙方必须在合同签订前向采购人缴纳金额为中标合同价10%的履约保证金，也可自主选择以支票、汇票、本票、银行保函等非现金形式缴纳或提交。</w:t>
      </w:r>
      <w:bookmarkEnd w:id="9"/>
      <w:r>
        <w:rPr>
          <w:rFonts w:hint="eastAsia" w:ascii="宋体" w:hAnsi="宋体" w:cs="宋体"/>
          <w:szCs w:val="21"/>
          <w:highlight w:val="none"/>
        </w:rPr>
        <w:t>如乙方未按约定提交履约保证金，甲方有权延迟本合同生效时间直至乙方提交完毕，或直接解除本合同。</w:t>
      </w:r>
      <w:bookmarkEnd w:id="10"/>
    </w:p>
    <w:p w14:paraId="0B5694A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2.3</w:t>
      </w:r>
      <w:bookmarkStart w:id="11" w:name="auto_fouce_7"/>
      <w:r>
        <w:rPr>
          <w:rFonts w:hint="eastAsia" w:ascii="宋体" w:hAnsi="宋体" w:cs="宋体"/>
          <w:szCs w:val="21"/>
          <w:highlight w:val="none"/>
        </w:rPr>
        <w:t>履约保证金在合同履行结束且乙方无任何违约行为后60日内无息返还；如乙方存在违约行为，甲方有权扣除相应金额的履约保证金后再行返还剩余部分。</w:t>
      </w:r>
      <w:bookmarkEnd w:id="11"/>
    </w:p>
    <w:p w14:paraId="13913458">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付款</w:t>
      </w:r>
    </w:p>
    <w:p w14:paraId="4491C280">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w:t>
      </w:r>
      <w:r>
        <w:rPr>
          <w:rFonts w:hint="eastAsia" w:ascii="宋体" w:hAnsi="宋体" w:cs="宋体"/>
          <w:szCs w:val="21"/>
          <w:highlight w:val="none"/>
        </w:rPr>
        <w:t>付款方式：银行电汇或承兑汇票。</w:t>
      </w:r>
    </w:p>
    <w:p w14:paraId="26DF7AA0">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.2</w:t>
      </w:r>
      <w:r>
        <w:rPr>
          <w:rFonts w:hint="eastAsia" w:ascii="宋体" w:hAnsi="宋体" w:cs="宋体"/>
          <w:szCs w:val="21"/>
          <w:highlight w:val="none"/>
        </w:rPr>
        <w:t>甲乙双方同意采用下列支付方式：</w:t>
      </w:r>
    </w:p>
    <w:p w14:paraId="66700299">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（1）按月度结算服务费，根据实际供货数量及合同约定单价进行核算； </w:t>
      </w:r>
    </w:p>
    <w:p w14:paraId="72208371">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w:t>
      </w:r>
      <w:bookmarkStart w:id="12" w:name="auto_fouce_9"/>
      <w:r>
        <w:rPr>
          <w:rFonts w:hint="eastAsia" w:ascii="宋体" w:hAnsi="宋体" w:cs="宋体"/>
          <w:szCs w:val="21"/>
          <w:highlight w:val="none"/>
          <w:lang w:bidi="ar"/>
        </w:rPr>
        <w:t>每月度结束后10日内，甲方对供货情况、产品质量（含非标药剂使用效果）进行考核，15日内结合考核结果支付对应款项；</w:t>
      </w:r>
      <w:bookmarkEnd w:id="12"/>
      <w:r>
        <w:rPr>
          <w:rFonts w:hint="eastAsia" w:ascii="宋体" w:hAnsi="宋体" w:cs="宋体"/>
          <w:szCs w:val="21"/>
          <w:highlight w:val="none"/>
          <w:lang w:bidi="ar"/>
        </w:rPr>
        <w:t xml:space="preserve"> </w:t>
      </w:r>
    </w:p>
    <w:p w14:paraId="645F7A6A">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（3）乙方每次付款前需开具相应金额的增值税专用发票，乙方未能开具发票的，甲方有权延迟付款，因此导致的损失乙方自行承担。</w:t>
      </w:r>
    </w:p>
    <w:p w14:paraId="3DE811CB">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3.3支付考核（考核表详见合同附件）</w:t>
      </w:r>
    </w:p>
    <w:p w14:paraId="0AFF780F">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（1）考核周期：每月一次，结合结算工作同步开展；</w:t>
      </w:r>
    </w:p>
    <w:p w14:paraId="05AD8CBA">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（2）考核内容：包括产品质量（70分）、供货及时性（15分）、服务响应（10分）、单据准确性（5分），总分100分；</w:t>
      </w:r>
    </w:p>
    <w:p w14:paraId="6DFC74AA">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w:t>
      </w:r>
      <w:bookmarkStart w:id="13" w:name="auto_fouce_10"/>
      <w:r>
        <w:rPr>
          <w:rFonts w:hint="eastAsia" w:ascii="宋体" w:hAnsi="宋体" w:cs="宋体"/>
          <w:szCs w:val="21"/>
          <w:highlight w:val="none"/>
          <w:lang w:bidi="ar"/>
        </w:rPr>
        <w:t>结果应用：95分及以上按合同金额100%支付，90-94分按95%支付，80-89分按90%支付，80分以下暂停合作并要求整改，整改期限不超过【</w:t>
      </w:r>
      <w:r>
        <w:rPr>
          <w:rFonts w:hint="eastAsia" w:ascii="宋体" w:hAnsi="宋体" w:cs="宋体"/>
          <w:color w:val="FF0000"/>
          <w:szCs w:val="21"/>
          <w:highlight w:val="none"/>
          <w:lang w:bidi="ar"/>
        </w:rPr>
        <w:t>3</w:t>
      </w:r>
      <w:r>
        <w:rPr>
          <w:rFonts w:hint="eastAsia" w:ascii="宋体" w:hAnsi="宋体" w:cs="宋体"/>
          <w:szCs w:val="21"/>
          <w:highlight w:val="none"/>
          <w:lang w:bidi="ar"/>
        </w:rPr>
        <w:t>】日，整改结果需经甲方书面确认。逾期未完成整改或整改不合格的，甲方有权直接解除合同，并要求乙方承担相应违约责任。</w:t>
      </w:r>
      <w:bookmarkEnd w:id="13"/>
    </w:p>
    <w:p w14:paraId="73989F2B">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质量标准及质量保证期</w:t>
      </w:r>
    </w:p>
    <w:p w14:paraId="411F25EA">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w:t>
      </w:r>
      <w:bookmarkStart w:id="14" w:name="auto_fouce_11"/>
      <w:r>
        <w:rPr>
          <w:rFonts w:hint="eastAsia" w:ascii="宋体" w:hAnsi="宋体" w:cs="宋体"/>
          <w:szCs w:val="21"/>
          <w:highlight w:val="none"/>
        </w:rPr>
        <w:t>质量按照国家和行业相关最高标准执行。同时需满足甲方另行书面提出的特定质量要求。乙方应当根据双方的约定提供货物的产地证明及合格证。</w:t>
      </w:r>
      <w:bookmarkEnd w:id="14"/>
    </w:p>
    <w:p w14:paraId="62FE4E0F">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.2</w:t>
      </w:r>
      <w:bookmarkStart w:id="15" w:name="tip_risk_bookmark_12"/>
      <w:r>
        <w:rPr>
          <w:rFonts w:hint="eastAsia" w:ascii="宋体" w:hAnsi="宋体" w:cs="宋体"/>
          <w:szCs w:val="21"/>
          <w:highlight w:val="none"/>
        </w:rPr>
        <w:t>质量保证期为货物到货验收合格后</w:t>
      </w:r>
      <w:r>
        <w:rPr>
          <w:rFonts w:hint="eastAsia" w:ascii="宋体" w:hAnsi="宋体" w:cs="宋体"/>
          <w:szCs w:val="21"/>
          <w:highlight w:val="none"/>
          <w:u w:val="single"/>
        </w:rPr>
        <w:t>6</w:t>
      </w:r>
      <w:r>
        <w:rPr>
          <w:rFonts w:hint="eastAsia" w:ascii="宋体" w:hAnsi="宋体" w:cs="宋体"/>
          <w:szCs w:val="21"/>
          <w:highlight w:val="none"/>
        </w:rPr>
        <w:t>个月，</w:t>
      </w:r>
      <w:r>
        <w:rPr>
          <w:rFonts w:ascii="宋体" w:hAnsi="宋体" w:cs="宋体"/>
          <w:szCs w:val="21"/>
          <w:highlight w:val="none"/>
        </w:rPr>
        <w:t>本合同项下质量保证金为合同总价款的5%</w:t>
      </w:r>
      <w:r>
        <w:rPr>
          <w:rFonts w:hint="eastAsia" w:ascii="宋体" w:hAnsi="宋体" w:cs="宋体"/>
          <w:szCs w:val="21"/>
          <w:highlight w:val="none"/>
        </w:rPr>
        <w:t>。</w:t>
      </w:r>
      <w:bookmarkEnd w:id="15"/>
    </w:p>
    <w:p w14:paraId="51057D4D">
      <w:pPr>
        <w:tabs>
          <w:tab w:val="left" w:pos="640"/>
        </w:tabs>
        <w:spacing w:line="360" w:lineRule="auto"/>
        <w:rPr>
          <w:rFonts w:hint="eastAsia" w:ascii="宋体" w:hAnsi="宋体" w:cs="宋体"/>
          <w:szCs w:val="21"/>
        </w:rPr>
      </w:pPr>
      <w:r>
        <w:rPr>
          <w:rFonts w:hint="eastAsia" w:ascii="宋体" w:hAnsi="宋体" w:cs="宋体"/>
          <w:szCs w:val="21"/>
          <w:highlight w:val="none"/>
        </w:rPr>
        <w:t>4</w:t>
      </w:r>
      <w:r>
        <w:rPr>
          <w:rFonts w:ascii="宋体" w:hAnsi="宋体" w:cs="宋体"/>
          <w:szCs w:val="21"/>
          <w:highlight w:val="none"/>
        </w:rPr>
        <w:t>.3</w:t>
      </w:r>
      <w:bookmarkStart w:id="16" w:name="auto_fouce_13"/>
      <w:r>
        <w:rPr>
          <w:rFonts w:hint="eastAsia" w:ascii="宋体" w:hAnsi="宋体" w:cs="宋体"/>
          <w:szCs w:val="21"/>
          <w:highlight w:val="none"/>
        </w:rPr>
        <w:t>质保期内，乙方提供药剂有缺陷或质量问题更换的，乙方应在收到甲方通知后48小时内进行</w:t>
      </w:r>
      <w:r>
        <w:rPr>
          <w:rFonts w:hint="eastAsia" w:ascii="宋体" w:hAnsi="宋体" w:cs="宋体"/>
          <w:szCs w:val="21"/>
        </w:rPr>
        <w:t>更换。若乙方未履行质保义务或更换后未达到合同约定的质量标准，甲方有权自行或委托第三方更换符合要求的药剂，由此产生的所有费用（包括但不限于采购费、运输费、安装费、人工费等）均由乙方承担，甲方有权从履约保证金或应付乙方的任何款项中直接扣除，不足部分有权向乙方追偿。</w:t>
      </w:r>
      <w:bookmarkEnd w:id="16"/>
    </w:p>
    <w:p w14:paraId="5AA4C35F">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交付及验收</w:t>
      </w:r>
    </w:p>
    <w:p w14:paraId="7DE7E987">
      <w:pPr>
        <w:tabs>
          <w:tab w:val="left" w:pos="640"/>
        </w:tabs>
        <w:spacing w:line="360" w:lineRule="auto"/>
        <w:rPr>
          <w:rFonts w:hint="eastAsia" w:ascii="宋体" w:hAnsi="宋体" w:cs="宋体"/>
          <w:color w:val="auto"/>
          <w:szCs w:val="21"/>
        </w:rPr>
      </w:pPr>
      <w:r>
        <w:rPr>
          <w:rFonts w:hint="eastAsia" w:ascii="宋体" w:hAnsi="宋体" w:cs="宋体"/>
          <w:color w:val="auto"/>
          <w:szCs w:val="21"/>
        </w:rPr>
        <w:t>5.1药剂交付：</w:t>
      </w:r>
    </w:p>
    <w:p w14:paraId="44F6CDF6">
      <w:pPr>
        <w:spacing w:line="360" w:lineRule="auto"/>
        <w:ind w:left="315" w:leftChars="150" w:firstLine="210" w:firstLineChars="100"/>
        <w:rPr>
          <w:rFonts w:hint="eastAsia" w:ascii="宋体" w:hAnsi="宋体" w:cs="宋体"/>
          <w:color w:val="auto"/>
          <w:szCs w:val="21"/>
        </w:rPr>
      </w:pPr>
      <w:bookmarkStart w:id="17" w:name="tip_risk_bookmark_14"/>
      <w:r>
        <w:rPr>
          <w:rFonts w:hint="eastAsia" w:ascii="宋体" w:hAnsi="宋体" w:cs="宋体"/>
          <w:color w:val="auto"/>
          <w:szCs w:val="21"/>
        </w:rPr>
        <w:t>乙方于年月日前，在甲方厂区卸货并交付甲方指定人员，视为交付货物。</w:t>
      </w:r>
      <w:bookmarkEnd w:id="17"/>
    </w:p>
    <w:p w14:paraId="4B484230">
      <w:pPr>
        <w:tabs>
          <w:tab w:val="left" w:pos="640"/>
        </w:tabs>
        <w:spacing w:line="360" w:lineRule="auto"/>
        <w:rPr>
          <w:rFonts w:hint="eastAsia" w:ascii="宋体" w:hAnsi="宋体" w:cs="宋体"/>
          <w:color w:val="auto"/>
          <w:szCs w:val="21"/>
        </w:rPr>
      </w:pPr>
      <w:r>
        <w:rPr>
          <w:rFonts w:hint="eastAsia" w:ascii="宋体" w:hAnsi="宋体" w:cs="宋体"/>
          <w:color w:val="auto"/>
          <w:szCs w:val="21"/>
        </w:rPr>
        <w:t>5.2乙方应提交的资料包括：</w:t>
      </w:r>
    </w:p>
    <w:p w14:paraId="2E2013E4">
      <w:pPr>
        <w:numPr>
          <w:ilvl w:val="0"/>
          <w:numId w:val="5"/>
        </w:numPr>
        <w:spacing w:line="360" w:lineRule="auto"/>
        <w:ind w:left="0" w:firstLine="315" w:firstLineChars="150"/>
        <w:rPr>
          <w:rFonts w:hint="eastAsia" w:ascii="宋体" w:hAnsi="宋体" w:cs="宋体"/>
          <w:color w:val="auto"/>
          <w:szCs w:val="21"/>
        </w:rPr>
      </w:pPr>
      <w:r>
        <w:rPr>
          <w:rFonts w:hint="eastAsia" w:ascii="宋体" w:hAnsi="宋体" w:cs="宋体"/>
          <w:color w:val="auto"/>
          <w:szCs w:val="21"/>
        </w:rPr>
        <w:t>包装说明、储存说明；</w:t>
      </w:r>
    </w:p>
    <w:p w14:paraId="1FA7CD40">
      <w:pPr>
        <w:numPr>
          <w:ilvl w:val="0"/>
          <w:numId w:val="5"/>
        </w:numPr>
        <w:spacing w:line="360" w:lineRule="auto"/>
        <w:ind w:left="0" w:firstLine="315" w:firstLineChars="150"/>
        <w:rPr>
          <w:rFonts w:hint="eastAsia" w:ascii="宋体" w:hAnsi="宋体" w:cs="宋体"/>
          <w:color w:val="auto"/>
          <w:szCs w:val="21"/>
        </w:rPr>
      </w:pPr>
      <w:r>
        <w:rPr>
          <w:rFonts w:hint="eastAsia" w:ascii="宋体" w:hAnsi="宋体" w:cs="宋体"/>
          <w:color w:val="auto"/>
          <w:szCs w:val="21"/>
        </w:rPr>
        <w:t>使用说明书</w:t>
      </w:r>
    </w:p>
    <w:p w14:paraId="0379C54E">
      <w:pPr>
        <w:numPr>
          <w:ilvl w:val="0"/>
          <w:numId w:val="5"/>
        </w:numPr>
        <w:spacing w:line="360" w:lineRule="auto"/>
        <w:ind w:left="0" w:firstLine="315" w:firstLineChars="150"/>
        <w:rPr>
          <w:rFonts w:hint="eastAsia" w:ascii="宋体" w:hAnsi="宋体" w:cs="宋体"/>
          <w:color w:val="auto"/>
          <w:szCs w:val="21"/>
        </w:rPr>
      </w:pPr>
      <w:r>
        <w:rPr>
          <w:rFonts w:hint="eastAsia" w:ascii="宋体" w:hAnsi="宋体" w:cs="宋体"/>
          <w:color w:val="auto"/>
          <w:szCs w:val="21"/>
        </w:rPr>
        <w:t>详细装箱清单；</w:t>
      </w:r>
    </w:p>
    <w:p w14:paraId="7192E586">
      <w:pPr>
        <w:numPr>
          <w:ilvl w:val="0"/>
          <w:numId w:val="5"/>
        </w:numPr>
        <w:spacing w:line="360" w:lineRule="auto"/>
        <w:ind w:left="0" w:firstLine="315" w:firstLineChars="150"/>
        <w:rPr>
          <w:rFonts w:hint="eastAsia" w:ascii="宋体" w:hAnsi="宋体" w:cs="宋体"/>
          <w:color w:val="auto"/>
          <w:szCs w:val="21"/>
        </w:rPr>
      </w:pPr>
      <w:r>
        <w:rPr>
          <w:rFonts w:hint="eastAsia" w:ascii="宋体" w:hAnsi="宋体" w:cs="宋体"/>
          <w:color w:val="auto"/>
          <w:szCs w:val="21"/>
        </w:rPr>
        <w:t>制造商出具的货物合格证明等。</w:t>
      </w:r>
    </w:p>
    <w:p w14:paraId="2B7C3B9E">
      <w:pPr>
        <w:tabs>
          <w:tab w:val="left" w:pos="64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18" w:name="auto_fouce_15"/>
      <w:r>
        <w:rPr>
          <w:rFonts w:hint="eastAsia" w:ascii="宋体" w:hAnsi="宋体" w:cs="宋体"/>
          <w:color w:val="auto"/>
          <w:szCs w:val="21"/>
        </w:rPr>
        <w:t>甲方在验收过程中或药剂使用期间，发现药剂的品种、型号、规格、质量或数量不合规定的，自交付之日起该部分药剂的毁损、灭失风险由乙方承担；甲方有权选择妥为保管或直接退回乙方，保管或退回产生的全部费用由乙方承担；甲方有权在发现问题后的【10】日内向乙方提出书面异议。如因药剂存在隐蔽质量问题导致甲方无法在上述期限内发现的，甲方的异议期限自实际发现该质量问题之日起计算。甲方有权从随后应付乙方款项中优先扣除相关费用。</w:t>
      </w:r>
      <w:bookmarkEnd w:id="18"/>
    </w:p>
    <w:p w14:paraId="5807F2A4">
      <w:pPr>
        <w:tabs>
          <w:tab w:val="left" w:pos="64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5.4</w:t>
      </w:r>
      <w:bookmarkStart w:id="19" w:name="auto_fouce_16"/>
      <w:r>
        <w:rPr>
          <w:rFonts w:hint="eastAsia" w:ascii="宋体" w:hAnsi="宋体" w:cs="宋体"/>
          <w:color w:val="auto"/>
          <w:szCs w:val="21"/>
        </w:rPr>
        <w:t>乙方在接到甲方书面异议后，应在7日内答复处理，否则即视为认可甲方提出的异议和处理意见，甲方有权直接采取相应措施，由此产生的全部费用由乙方承担。</w:t>
      </w:r>
      <w:bookmarkEnd w:id="19"/>
    </w:p>
    <w:p w14:paraId="43F45A0A">
      <w:pPr>
        <w:tabs>
          <w:tab w:val="left" w:pos="64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5.5</w:t>
      </w:r>
      <w:bookmarkStart w:id="20" w:name="auto_fouce_17"/>
      <w:r>
        <w:rPr>
          <w:rFonts w:hint="eastAsia" w:ascii="宋体" w:hAnsi="宋体" w:cs="宋体"/>
          <w:color w:val="auto"/>
          <w:szCs w:val="21"/>
        </w:rPr>
        <w:t>乙方有义务根据甲方的要求配合甲方对合同药剂进行实验，包括但不限于派遣掌握相应技术的技术人员到达甲方指定现场指导实验等，且相关费用由乙方自行承担。乙方应在甲方发出实验要求后【3】日内派遣符合要求的技术人员到达甲方指定现场，逾期未到达的，每逾期一日应向甲方支付【5000】元违约金；给甲方造成损失的，还应赔偿甲方的全部损失。</w:t>
      </w:r>
      <w:bookmarkEnd w:id="20"/>
    </w:p>
    <w:p w14:paraId="102F1105">
      <w:pPr>
        <w:widowControl/>
        <w:numPr>
          <w:ilvl w:val="0"/>
          <w:numId w:val="3"/>
        </w:numPr>
        <w:spacing w:line="720" w:lineRule="auto"/>
        <w:jc w:val="left"/>
        <w:rPr>
          <w:rFonts w:hint="eastAsia" w:ascii="宋体" w:hAnsi="宋体" w:cs="宋体"/>
          <w:bCs/>
          <w:color w:val="auto"/>
          <w:szCs w:val="21"/>
        </w:rPr>
      </w:pPr>
      <w:r>
        <w:rPr>
          <w:rFonts w:hint="eastAsia" w:ascii="宋体" w:hAnsi="宋体" w:cs="宋体"/>
          <w:bCs/>
          <w:color w:val="auto"/>
          <w:szCs w:val="21"/>
        </w:rPr>
        <w:t>包装标准</w:t>
      </w:r>
    </w:p>
    <w:p w14:paraId="78ACA90E">
      <w:pPr>
        <w:tabs>
          <w:tab w:val="left" w:pos="640"/>
        </w:tabs>
        <w:spacing w:line="360" w:lineRule="auto"/>
        <w:jc w:val="left"/>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r>
        <w:rPr>
          <w:rFonts w:hint="eastAsia" w:ascii="宋体" w:hAnsi="宋体" w:cs="宋体"/>
          <w:color w:val="auto"/>
          <w:szCs w:val="21"/>
        </w:rPr>
        <w:t>按国家和行业相关标准，乙方提供适用于长途运输要求的包装，且包装必须满足在运输和多次搬运的情况下安全的要求。</w:t>
      </w:r>
    </w:p>
    <w:p w14:paraId="12DE7FCA">
      <w:pPr>
        <w:tabs>
          <w:tab w:val="left" w:pos="640"/>
        </w:tabs>
        <w:spacing w:line="360" w:lineRule="auto"/>
        <w:jc w:val="left"/>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.2</w:t>
      </w:r>
      <w:r>
        <w:rPr>
          <w:rFonts w:hint="eastAsia" w:ascii="宋体" w:hAnsi="宋体" w:cs="宋体"/>
          <w:color w:val="auto"/>
          <w:szCs w:val="21"/>
        </w:rPr>
        <w:t>如因包装缺陷导致药剂损坏，则乙方需要无偿负责更换。</w:t>
      </w:r>
    </w:p>
    <w:p w14:paraId="7CD92C0A">
      <w:pPr>
        <w:tabs>
          <w:tab w:val="left" w:pos="640"/>
        </w:tabs>
        <w:spacing w:line="360" w:lineRule="auto"/>
        <w:jc w:val="left"/>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.3</w:t>
      </w:r>
      <w:bookmarkStart w:id="21" w:name="auto_fouce_18"/>
      <w:r>
        <w:rPr>
          <w:rFonts w:hint="eastAsia" w:ascii="宋体" w:hAnsi="宋体" w:cs="宋体"/>
          <w:color w:val="auto"/>
          <w:szCs w:val="21"/>
        </w:rPr>
        <w:t>乙方应根据甲方合同及技术协议等书面文件的要求包装并发送货物，同时在货物到达甲方指定地点前提供详细的装箱清单，明确在包装箱内的所有物品。装箱清单将是乙方交付合同货物的依据。如乙方未按要求提供装箱清单或装箱清单与实际货物不符，甲方有权拒绝验收，由此产生的仓储费、滞期费等全部费用由乙方承担。</w:t>
      </w:r>
      <w:bookmarkEnd w:id="21"/>
    </w:p>
    <w:p w14:paraId="327B7CA9">
      <w:pPr>
        <w:widowControl/>
        <w:numPr>
          <w:ilvl w:val="0"/>
          <w:numId w:val="3"/>
        </w:numPr>
        <w:spacing w:line="720" w:lineRule="auto"/>
        <w:ind w:left="0" w:firstLine="0"/>
        <w:jc w:val="left"/>
        <w:rPr>
          <w:rFonts w:hint="eastAsia" w:ascii="宋体" w:hAnsi="宋体" w:cs="宋体"/>
          <w:bCs/>
          <w:color w:val="auto"/>
          <w:szCs w:val="21"/>
        </w:rPr>
      </w:pPr>
      <w:r>
        <w:rPr>
          <w:rFonts w:hint="eastAsia" w:ascii="宋体" w:hAnsi="宋体" w:cs="宋体"/>
          <w:bCs/>
          <w:color w:val="auto"/>
          <w:szCs w:val="21"/>
        </w:rPr>
        <w:t>知识产权及保密</w:t>
      </w:r>
    </w:p>
    <w:p w14:paraId="466A3124">
      <w:pPr>
        <w:tabs>
          <w:tab w:val="left" w:pos="640"/>
        </w:tabs>
        <w:spacing w:line="360" w:lineRule="auto"/>
        <w:jc w:val="left"/>
        <w:rPr>
          <w:color w:val="auto"/>
        </w:rPr>
      </w:pPr>
      <w:r>
        <w:rPr>
          <w:rFonts w:hint="eastAsia" w:ascii="宋体" w:hAnsi="宋体" w:cs="宋体"/>
          <w:color w:val="auto"/>
          <w:szCs w:val="21"/>
        </w:rPr>
        <w:t>7</w:t>
      </w:r>
      <w:r>
        <w:rPr>
          <w:rFonts w:ascii="宋体" w:hAnsi="宋体" w:cs="宋体"/>
          <w:color w:val="auto"/>
          <w:szCs w:val="21"/>
        </w:rPr>
        <w:t>.1</w:t>
      </w:r>
      <w:r>
        <w:rPr>
          <w:rFonts w:hint="eastAsia" w:ascii="宋体" w:hAnsi="宋体" w:cs="宋体"/>
          <w:color w:val="auto"/>
          <w:szCs w:val="21"/>
        </w:rPr>
        <w:t>乙方承诺其所交付药剂所涉及的知识产权为其自身享有或已取得合法权利人的相应授权，其根据本合同约定提供给甲方且甲方为本合同之目的而使用不存在违反法律或侵犯第三方合法权益的情形。</w:t>
      </w:r>
      <w:bookmarkStart w:id="22" w:name="auto_fouce_19"/>
      <w:r>
        <w:rPr>
          <w:rFonts w:hint="eastAsia" w:ascii="宋体" w:hAnsi="宋体" w:cs="宋体"/>
          <w:color w:val="auto"/>
          <w:szCs w:val="21"/>
        </w:rPr>
        <w:t>若甲方因使用乙方交付的药剂被第三方主张知识产权侵权，乙方应立即全权负责处理相关争议事宜，同时承担甲方因此产生的全部直接和间接损失，且甲方有权暂停支付后续全部货款直至争议完全解决。</w:t>
      </w:r>
      <w:bookmarkEnd w:id="22"/>
    </w:p>
    <w:p w14:paraId="72EC126F">
      <w:pPr>
        <w:tabs>
          <w:tab w:val="left" w:pos="640"/>
        </w:tabs>
        <w:spacing w:line="360" w:lineRule="auto"/>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对于甲方因本合同而提供给乙方的相关技术、商业等信息，乙方承诺承担保密义务，未经甲方事先书面同意，不得披露给第三方或将其用于本合同之外的目的。</w:t>
      </w:r>
    </w:p>
    <w:p w14:paraId="658C1CCA">
      <w:pPr>
        <w:widowControl/>
        <w:numPr>
          <w:ilvl w:val="0"/>
          <w:numId w:val="3"/>
        </w:numPr>
        <w:spacing w:line="720" w:lineRule="auto"/>
        <w:jc w:val="left"/>
        <w:rPr>
          <w:rFonts w:hint="eastAsia" w:ascii="宋体" w:hAnsi="宋体" w:cs="宋体"/>
          <w:bCs/>
          <w:color w:val="auto"/>
          <w:szCs w:val="21"/>
        </w:rPr>
      </w:pPr>
      <w:r>
        <w:rPr>
          <w:rFonts w:hint="eastAsia" w:ascii="宋体" w:hAnsi="宋体" w:cs="宋体"/>
          <w:bCs/>
          <w:color w:val="auto"/>
          <w:szCs w:val="21"/>
        </w:rPr>
        <w:t>违约责任</w:t>
      </w:r>
    </w:p>
    <w:p w14:paraId="4B3963F3">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.1</w:t>
      </w:r>
      <w:bookmarkStart w:id="23" w:name="auto_fouce_20"/>
      <w:r>
        <w:rPr>
          <w:rFonts w:hint="eastAsia" w:ascii="宋体" w:hAnsi="宋体" w:cs="宋体"/>
          <w:color w:val="auto"/>
          <w:szCs w:val="21"/>
        </w:rPr>
        <w:t>如乙方未能按期交货，每逾期一日应向甲方支付1%的违约金，甲方有权从应付货款中直接扣除。逾期交货超过</w:t>
      </w:r>
      <w:r>
        <w:rPr>
          <w:rFonts w:hint="eastAsia" w:ascii="宋体" w:hAnsi="宋体" w:cs="宋体"/>
          <w:color w:val="auto"/>
          <w:szCs w:val="21"/>
          <w:u w:val="single"/>
        </w:rPr>
        <w:t>7</w:t>
      </w:r>
      <w:r>
        <w:rPr>
          <w:rFonts w:hint="eastAsia" w:ascii="宋体" w:hAnsi="宋体" w:cs="宋体"/>
          <w:color w:val="auto"/>
          <w:szCs w:val="21"/>
        </w:rPr>
        <w:t>日，则甲方有权解除本合同，且乙方需向甲方支付合同总价15%的违约金。</w:t>
      </w:r>
      <w:bookmarkEnd w:id="23"/>
    </w:p>
    <w:p w14:paraId="73BC30B3">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.2</w:t>
      </w:r>
      <w:r>
        <w:rPr>
          <w:rFonts w:hint="eastAsia" w:ascii="宋体" w:hAnsi="宋体" w:cs="宋体"/>
          <w:color w:val="auto"/>
          <w:szCs w:val="21"/>
        </w:rPr>
        <w:t>甲方因乙方提供的合同药剂涉嫌知识产权侵权而被第三方指控或引发诉讼或导致其他纠纷的，一经甲方通知，乙方应立即采取一切可能的措施为甲方提供保护及必要的支持，以避免甲方因此被追究任何责任。乙方应承担甲方因此发生的所有费用，并应赔偿甲方因此遭受的全部损失。</w:t>
      </w:r>
    </w:p>
    <w:p w14:paraId="15A5318D">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.3</w:t>
      </w:r>
      <w:r>
        <w:rPr>
          <w:rFonts w:hint="eastAsia" w:ascii="宋体" w:hAnsi="宋体" w:cs="宋体"/>
          <w:color w:val="auto"/>
          <w:szCs w:val="21"/>
        </w:rPr>
        <w:t>乙方违反知识产权或保密义务的，应向甲方支付合同含税总价10%的违约金。</w:t>
      </w:r>
    </w:p>
    <w:p w14:paraId="7D6A9EB3">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.4</w:t>
      </w:r>
      <w:bookmarkStart w:id="24" w:name="auto_fouce_21"/>
      <w:r>
        <w:rPr>
          <w:rFonts w:hint="eastAsia" w:ascii="宋体" w:hAnsi="宋体" w:cs="宋体"/>
          <w:color w:val="auto"/>
          <w:szCs w:val="21"/>
        </w:rPr>
        <w:t>合同因乙方原因解除的，乙方应向甲方支付合同含税总价20%的违约金。</w:t>
      </w:r>
      <w:bookmarkEnd w:id="24"/>
    </w:p>
    <w:p w14:paraId="7E5726DE">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.5</w:t>
      </w:r>
      <w:r>
        <w:rPr>
          <w:rFonts w:hint="eastAsia" w:ascii="宋体" w:hAnsi="宋体" w:cs="宋体"/>
          <w:color w:val="auto"/>
          <w:szCs w:val="21"/>
        </w:rPr>
        <w:t>如果本合同约定的违约金数额不足以弥补甲方损失的，乙方应当另行赔偿甲方损失。</w:t>
      </w:r>
    </w:p>
    <w:p w14:paraId="707B1DF0">
      <w:pPr>
        <w:tabs>
          <w:tab w:val="left" w:pos="640"/>
        </w:tabs>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.6</w:t>
      </w:r>
      <w:bookmarkStart w:id="25" w:name="tip_risk_bookmark_24"/>
      <w:bookmarkStart w:id="26" w:name="tip_risk_bookmark_23"/>
      <w:r>
        <w:rPr>
          <w:rFonts w:hint="eastAsia" w:ascii="宋体" w:hAnsi="宋体" w:cs="宋体"/>
          <w:color w:val="auto"/>
          <w:szCs w:val="21"/>
        </w:rPr>
        <w:t>本合同生效后，双方均应全面履行本合同约定的义务。任何一方不履行或不完全履行本合同约定义务的，应当承担相应的违约责任，并赔偿由此给守约方造成的损失，包括守约方为实现债权而支付的律师费、保全费、仲裁费、公证费、鉴定费等。</w:t>
      </w:r>
      <w:bookmarkEnd w:id="25"/>
      <w:bookmarkEnd w:id="26"/>
      <w:bookmarkStart w:id="27" w:name="auto_fouce_22"/>
    </w:p>
    <w:p w14:paraId="3E3873CD">
      <w:pPr>
        <w:tabs>
          <w:tab w:val="left" w:pos="640"/>
        </w:tabs>
        <w:spacing w:line="360" w:lineRule="auto"/>
        <w:rPr>
          <w:rFonts w:hint="eastAsia" w:ascii="宋体" w:hAnsi="宋体" w:cs="宋体"/>
          <w:color w:val="auto"/>
          <w:szCs w:val="21"/>
        </w:rPr>
      </w:pPr>
      <w:r>
        <w:rPr>
          <w:rFonts w:hint="eastAsia" w:ascii="宋体" w:hAnsi="宋体" w:cs="宋体"/>
          <w:color w:val="auto"/>
          <w:szCs w:val="21"/>
        </w:rPr>
        <w:t>8.7乙方提供的药剂不符合本合同约定的质量标准或要求的，每出现一次应向甲方支付【5000】元违约金；给甲方造成损失的，还应赔偿甲方的全部损失；情节严重的，甲方有权暂停支付货款或解除本合同。</w:t>
      </w:r>
      <w:bookmarkEnd w:id="27"/>
    </w:p>
    <w:p w14:paraId="16BF63CE">
      <w:pPr>
        <w:widowControl/>
        <w:numPr>
          <w:ilvl w:val="0"/>
          <w:numId w:val="3"/>
        </w:numPr>
        <w:spacing w:line="720" w:lineRule="auto"/>
        <w:jc w:val="left"/>
        <w:rPr>
          <w:rFonts w:hint="eastAsia" w:ascii="宋体" w:hAnsi="宋体" w:cs="宋体"/>
          <w:bCs/>
          <w:color w:val="auto"/>
          <w:szCs w:val="21"/>
        </w:rPr>
      </w:pPr>
      <w:r>
        <w:rPr>
          <w:rFonts w:hint="eastAsia" w:ascii="宋体" w:hAnsi="宋体" w:cs="宋体"/>
          <w:bCs/>
          <w:color w:val="auto"/>
          <w:szCs w:val="21"/>
        </w:rPr>
        <w:t>合同的变更、修改、中止和终止</w:t>
      </w:r>
    </w:p>
    <w:p w14:paraId="476491A1">
      <w:pPr>
        <w:tabs>
          <w:tab w:val="left" w:pos="640"/>
        </w:tabs>
        <w:spacing w:line="360" w:lineRule="auto"/>
        <w:jc w:val="left"/>
        <w:rPr>
          <w:rFonts w:hint="eastAsia" w:ascii="宋体" w:hAnsi="宋体" w:cs="宋体"/>
          <w:szCs w:val="21"/>
        </w:rPr>
      </w:pPr>
      <w:r>
        <w:rPr>
          <w:rFonts w:hint="eastAsia" w:ascii="宋体" w:hAnsi="宋体" w:cs="宋体"/>
          <w:szCs w:val="21"/>
        </w:rPr>
        <w:t>9</w:t>
      </w:r>
      <w:r>
        <w:rPr>
          <w:rFonts w:ascii="宋体" w:hAnsi="宋体" w:cs="宋体"/>
          <w:szCs w:val="21"/>
        </w:rPr>
        <w:t>.1</w:t>
      </w:r>
      <w:bookmarkStart w:id="28" w:name="auto_fouce_25"/>
      <w:r>
        <w:rPr>
          <w:rFonts w:hint="eastAsia" w:ascii="宋体" w:hAnsi="宋体" w:cs="宋体"/>
          <w:szCs w:val="21"/>
        </w:rPr>
        <w:t>本合同一经生效，任何一方要求对本合同进行变更、修改或补充的，应当以书面形式通知对方，双方同意后经各自法定代表人或其授权人签字并经双方加盖公章或合同专用章后方能生效。</w:t>
      </w:r>
      <w:bookmarkEnd w:id="28"/>
    </w:p>
    <w:p w14:paraId="7833A560">
      <w:pPr>
        <w:tabs>
          <w:tab w:val="left" w:pos="640"/>
        </w:tabs>
        <w:spacing w:line="360" w:lineRule="auto"/>
        <w:jc w:val="left"/>
        <w:rPr>
          <w:rFonts w:hint="eastAsia" w:ascii="宋体" w:hAnsi="宋体" w:cs="宋体"/>
          <w:szCs w:val="21"/>
        </w:rPr>
      </w:pPr>
      <w:r>
        <w:rPr>
          <w:rFonts w:hint="eastAsia" w:ascii="宋体" w:hAnsi="宋体" w:cs="宋体"/>
          <w:szCs w:val="21"/>
        </w:rPr>
        <w:t>9</w:t>
      </w:r>
      <w:r>
        <w:rPr>
          <w:rFonts w:ascii="宋体" w:hAnsi="宋体" w:cs="宋体"/>
          <w:szCs w:val="21"/>
        </w:rPr>
        <w:t>.2</w:t>
      </w:r>
      <w:bookmarkStart w:id="29" w:name="tip_risk_bookmark_26"/>
      <w:bookmarkStart w:id="30" w:name="auto_fouce_27"/>
      <w:r>
        <w:rPr>
          <w:rFonts w:hint="eastAsia" w:ascii="宋体" w:hAnsi="宋体" w:cs="宋体"/>
          <w:szCs w:val="21"/>
        </w:rPr>
        <w:t>如果甲乙双方有违反或拒绝执行本合同规定的行为时，一方有权书面通知对方，对方在接到通知后应及时做出修正。经书面通知仍不纠正或履行合同的，对方有权书面通知解除本合同。</w:t>
      </w:r>
      <w:bookmarkEnd w:id="29"/>
      <w:bookmarkEnd w:id="30"/>
    </w:p>
    <w:p w14:paraId="705C568C">
      <w:pPr>
        <w:tabs>
          <w:tab w:val="left" w:pos="640"/>
        </w:tabs>
        <w:spacing w:line="360" w:lineRule="auto"/>
        <w:jc w:val="left"/>
        <w:rPr>
          <w:rFonts w:hint="eastAsia" w:ascii="宋体" w:hAnsi="宋体" w:cs="宋体"/>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本合同的变更、中止、解除、索赔等重大事项，应以书面形式进行。书面形式包括会议纪要、来往信函、电子邮件、传真等。</w:t>
      </w:r>
    </w:p>
    <w:p w14:paraId="217130AC">
      <w:pPr>
        <w:tabs>
          <w:tab w:val="left" w:pos="640"/>
        </w:tabs>
        <w:spacing w:line="360" w:lineRule="auto"/>
        <w:jc w:val="left"/>
        <w:rPr>
          <w:rFonts w:hint="eastAsia" w:ascii="宋体" w:hAnsi="宋体" w:cs="宋体"/>
          <w:szCs w:val="21"/>
        </w:rPr>
      </w:pPr>
      <w:r>
        <w:rPr>
          <w:rFonts w:hint="eastAsia" w:ascii="宋体" w:hAnsi="宋体" w:cs="宋体"/>
          <w:szCs w:val="21"/>
        </w:rPr>
        <w:t>9</w:t>
      </w:r>
      <w:r>
        <w:rPr>
          <w:rFonts w:ascii="宋体" w:hAnsi="宋体" w:cs="宋体"/>
          <w:szCs w:val="21"/>
        </w:rPr>
        <w:t>.4</w:t>
      </w:r>
      <w:bookmarkStart w:id="31" w:name="auto_fouce_28"/>
      <w:r>
        <w:rPr>
          <w:rFonts w:hint="eastAsia" w:ascii="宋体" w:hAnsi="宋体" w:cs="宋体"/>
          <w:szCs w:val="21"/>
        </w:rPr>
        <w:t>未经甲方事先书面同意，乙方不得将其在本合同项下之权利或义务全部或部分转让给第三方，也不得委托任何第三方代为履行本合同项下的任何义务。如乙方擅自转让，甲方有权立即解除本合同，并要求乙方支付合同总价【</w:t>
      </w:r>
      <w:r>
        <w:rPr>
          <w:rFonts w:hint="eastAsia" w:ascii="宋体" w:hAnsi="宋体" w:cs="宋体"/>
          <w:color w:val="FF0000"/>
          <w:szCs w:val="21"/>
        </w:rPr>
        <w:t>10</w:t>
      </w:r>
      <w:r>
        <w:rPr>
          <w:rFonts w:hint="eastAsia" w:ascii="宋体" w:hAnsi="宋体" w:cs="宋体"/>
          <w:szCs w:val="21"/>
        </w:rPr>
        <w:t>】%的违约金。</w:t>
      </w:r>
      <w:bookmarkEnd w:id="31"/>
    </w:p>
    <w:p w14:paraId="0E64FB0C">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不可抗力</w:t>
      </w:r>
    </w:p>
    <w:p w14:paraId="52FFB68D">
      <w:pPr>
        <w:tabs>
          <w:tab w:val="left" w:pos="640"/>
        </w:tabs>
        <w:spacing w:line="360" w:lineRule="auto"/>
        <w:rPr>
          <w:rFonts w:hint="eastAsia" w:ascii="宋体" w:hAnsi="宋体" w:cs="宋体"/>
          <w:szCs w:val="21"/>
        </w:rPr>
      </w:pPr>
      <w:r>
        <w:rPr>
          <w:rFonts w:hint="eastAsia" w:ascii="宋体" w:hAnsi="宋体" w:cs="宋体"/>
          <w:szCs w:val="21"/>
        </w:rPr>
        <w:t>10.1</w:t>
      </w:r>
      <w:bookmarkStart w:id="32" w:name="auto_fouce_29"/>
      <w:r>
        <w:rPr>
          <w:rFonts w:hint="eastAsia" w:ascii="宋体" w:hAnsi="宋体" w:cs="宋体"/>
          <w:szCs w:val="21"/>
        </w:rPr>
        <w:t>不可抗力是合同签字后发生的非有关方所能控制的，并非合同方过失的，无法中止的，不能预防的，不能避免的社会和自然事件，包括但不限于：严重的自然灾害（如台风、洪水、地震、火灾和爆炸等）、战争（不论是否宣战）、叛乱、破坏、动乱、社会敌视行为、正式罢工、瘟疫、法律和政策变化等等。合同双方的任何一方，由于不可抗力事件而影响合同义务的执行时，则延迟履行合同义务的期限相当于不可抗力事件影响的时间，但是不能因为不可抗力的延迟而调整价格。</w:t>
      </w:r>
      <w:bookmarkEnd w:id="32"/>
    </w:p>
    <w:p w14:paraId="370B2C18">
      <w:pPr>
        <w:tabs>
          <w:tab w:val="left" w:pos="630"/>
        </w:tabs>
        <w:spacing w:line="360" w:lineRule="auto"/>
        <w:rPr>
          <w:rFonts w:hint="eastAsia" w:ascii="宋体" w:hAnsi="宋体" w:cs="宋体"/>
          <w:szCs w:val="21"/>
        </w:rPr>
      </w:pPr>
      <w:r>
        <w:rPr>
          <w:rFonts w:hint="eastAsia" w:ascii="宋体" w:hAnsi="宋体" w:cs="宋体"/>
          <w:szCs w:val="21"/>
        </w:rPr>
        <w:t>10.2受到不可抗力影响的一方应在不可抗力事件发生后，尽快将所发生的不可抗力事件的情况以传真和电报通知另一方，并采取积极措施防止损失扩大，另外应在三天内用航空挂号信或特快投递将有关当局出具的证明文件等证据提交给另一方审阅确认。受影响的一方同时应尽量设法缩小这种影响和由此而引起的延误，一旦不可抗力的影响消除后，应将此情况立即通知对方。遭遇不可抗力一方未履行通知和减损义务，应当赔偿对方损失。</w:t>
      </w:r>
    </w:p>
    <w:p w14:paraId="42A76BA3">
      <w:pPr>
        <w:tabs>
          <w:tab w:val="left" w:pos="640"/>
        </w:tabs>
        <w:spacing w:line="360" w:lineRule="auto"/>
        <w:rPr>
          <w:rFonts w:hint="eastAsia" w:ascii="宋体" w:hAnsi="宋体" w:cs="宋体"/>
          <w:szCs w:val="21"/>
        </w:rPr>
      </w:pPr>
      <w:r>
        <w:rPr>
          <w:rFonts w:hint="eastAsia" w:ascii="宋体" w:hAnsi="宋体" w:cs="宋体"/>
          <w:szCs w:val="21"/>
        </w:rPr>
        <w:t>10.3</w:t>
      </w:r>
      <w:bookmarkStart w:id="33" w:name="auto_fouce_31"/>
      <w:bookmarkStart w:id="34" w:name="tip_risk_bookmark_30"/>
      <w:r>
        <w:rPr>
          <w:rFonts w:hint="eastAsia" w:ascii="宋体" w:hAnsi="宋体" w:cs="宋体"/>
          <w:szCs w:val="21"/>
        </w:rPr>
        <w:t>因不可抗力解除合同：因不可抗力导致合同无法履行连续超过【60】天或在同一合同年度内累计超过【90】天的，甲方和乙方均有权解除合同。合同解除后的相关事宜，由甲、乙方双方进行协商确定，如无法协商一致，双方可以按照本合同约定解决。</w:t>
      </w:r>
      <w:bookmarkEnd w:id="33"/>
      <w:bookmarkEnd w:id="34"/>
    </w:p>
    <w:p w14:paraId="2BD91AAB">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其它</w:t>
      </w:r>
    </w:p>
    <w:p w14:paraId="42E0CC6A">
      <w:pPr>
        <w:tabs>
          <w:tab w:val="left" w:pos="640"/>
        </w:tabs>
        <w:spacing w:line="360" w:lineRule="auto"/>
        <w:jc w:val="left"/>
        <w:rPr>
          <w:rFonts w:hint="eastAsia" w:ascii="宋体" w:hAnsi="宋体" w:cs="宋体"/>
          <w:bCs/>
          <w:szCs w:val="21"/>
        </w:rPr>
      </w:pPr>
      <w:r>
        <w:rPr>
          <w:rFonts w:hint="eastAsia" w:ascii="宋体" w:hAnsi="宋体" w:cs="宋体"/>
          <w:szCs w:val="21"/>
        </w:rPr>
        <w:t>11.1</w:t>
      </w:r>
      <w:bookmarkStart w:id="35" w:name="auto_fouce_32"/>
      <w:r>
        <w:rPr>
          <w:rFonts w:hint="eastAsia" w:ascii="宋体" w:hAnsi="宋体" w:cs="宋体"/>
          <w:szCs w:val="21"/>
        </w:rPr>
        <w:t>凡因</w:t>
      </w:r>
      <w:r>
        <w:rPr>
          <w:rFonts w:hint="eastAsia" w:ascii="宋体" w:hAnsi="宋体" w:cs="宋体"/>
          <w:bCs/>
          <w:szCs w:val="21"/>
        </w:rPr>
        <w:t>执行本合同所发生的争议，或与本合同有关的一切争议，双方应通过友好协商解决。如果协商不能解决，任何一方均有权向甲方所在地有管辖权的人民法院提起诉讼。诉讼过程中发生的费用(包括但不限于诉讼费、律师费、公证费、保全费、鉴定费、执行费用等)应由败诉方承担。争议期间，除乙方存在违约行为外，双方应继续履行各自的合同义务。</w:t>
      </w:r>
      <w:bookmarkEnd w:id="35"/>
    </w:p>
    <w:p w14:paraId="450EE47C">
      <w:pPr>
        <w:tabs>
          <w:tab w:val="left" w:pos="640"/>
        </w:tabs>
        <w:spacing w:line="360" w:lineRule="auto"/>
        <w:ind w:firstLine="420" w:firstLineChars="200"/>
        <w:jc w:val="left"/>
        <w:rPr>
          <w:rFonts w:hint="eastAsia" w:ascii="宋体" w:hAnsi="宋体" w:cs="宋体"/>
          <w:szCs w:val="21"/>
        </w:rPr>
      </w:pPr>
      <w:r>
        <w:rPr>
          <w:rFonts w:hint="eastAsia" w:ascii="宋体" w:hAnsi="宋体" w:cs="宋体"/>
          <w:szCs w:val="21"/>
        </w:rPr>
        <w:t>双方同意将本合同签署页列明的联系方式作为各自接收对方通知的地址，如果本合同履行过程中发生任何纠纷，则前述地址视为对方邮寄催收函、律师函等文件以及向法院邮寄法律文书的法定送达地址。</w:t>
      </w:r>
    </w:p>
    <w:p w14:paraId="67604B0D">
      <w:pPr>
        <w:tabs>
          <w:tab w:val="left" w:pos="640"/>
        </w:tabs>
        <w:spacing w:line="360" w:lineRule="auto"/>
        <w:jc w:val="left"/>
        <w:rPr>
          <w:rFonts w:hint="eastAsia" w:ascii="宋体" w:hAnsi="宋体" w:cs="宋体"/>
          <w:szCs w:val="21"/>
        </w:rPr>
      </w:pPr>
      <w:r>
        <w:rPr>
          <w:rFonts w:hint="eastAsia" w:ascii="宋体" w:hAnsi="宋体" w:cs="宋体"/>
          <w:szCs w:val="21"/>
        </w:rPr>
        <w:t>11.</w:t>
      </w:r>
      <w:bookmarkStart w:id="36" w:name="auto_fouce_33"/>
      <w:r>
        <w:rPr>
          <w:rFonts w:hint="eastAsia" w:ascii="宋体" w:hAnsi="宋体" w:cs="宋体"/>
          <w:szCs w:val="21"/>
        </w:rPr>
        <w:t>本合同自双方法定代表人或委托代理人签字并加盖公章或合同专用章后生效。</w:t>
      </w:r>
      <w:bookmarkEnd w:id="36"/>
    </w:p>
    <w:p w14:paraId="742C220A">
      <w:pPr>
        <w:tabs>
          <w:tab w:val="left" w:pos="640"/>
        </w:tabs>
        <w:spacing w:line="360" w:lineRule="auto"/>
        <w:jc w:val="left"/>
        <w:rPr>
          <w:rFonts w:hint="eastAsia" w:ascii="宋体" w:hAnsi="宋体" w:cs="宋体"/>
          <w:szCs w:val="21"/>
        </w:rPr>
      </w:pPr>
      <w:r>
        <w:rPr>
          <w:rFonts w:hint="eastAsia" w:ascii="宋体" w:hAnsi="宋体" w:cs="宋体"/>
          <w:szCs w:val="21"/>
        </w:rPr>
        <w:t>11.3本合同一式</w:t>
      </w:r>
      <w:r>
        <w:rPr>
          <w:rFonts w:hint="eastAsia" w:ascii="宋体" w:hAnsi="宋体" w:cs="宋体"/>
          <w:szCs w:val="21"/>
          <w:u w:val="single"/>
        </w:rPr>
        <w:t>八</w:t>
      </w:r>
      <w:r>
        <w:rPr>
          <w:rFonts w:hint="eastAsia" w:ascii="宋体" w:hAnsi="宋体" w:cs="宋体"/>
          <w:szCs w:val="21"/>
        </w:rPr>
        <w:t>份；买卖双方各执</w:t>
      </w:r>
      <w:r>
        <w:rPr>
          <w:rFonts w:hint="eastAsia" w:ascii="宋体" w:hAnsi="宋体" w:cs="宋体"/>
          <w:szCs w:val="21"/>
          <w:u w:val="single"/>
        </w:rPr>
        <w:t>四</w:t>
      </w:r>
      <w:r>
        <w:rPr>
          <w:rFonts w:hint="eastAsia" w:ascii="宋体" w:hAnsi="宋体" w:cs="宋体"/>
          <w:szCs w:val="21"/>
        </w:rPr>
        <w:t>份，具有同等法律效力。</w:t>
      </w:r>
    </w:p>
    <w:p w14:paraId="5C22BE2F">
      <w:pPr>
        <w:tabs>
          <w:tab w:val="left" w:pos="640"/>
        </w:tabs>
        <w:spacing w:line="360" w:lineRule="auto"/>
        <w:jc w:val="left"/>
        <w:rPr>
          <w:rFonts w:hint="eastAsia" w:ascii="宋体" w:hAnsi="宋体" w:cs="宋体"/>
          <w:szCs w:val="21"/>
        </w:rPr>
      </w:pPr>
      <w:r>
        <w:rPr>
          <w:rFonts w:hint="eastAsia" w:ascii="宋体" w:hAnsi="宋体" w:cs="宋体"/>
          <w:szCs w:val="21"/>
        </w:rPr>
        <w:t>11.4本合同附件及双方认可的来往电子邮件、传真、邮件、会议纪要等，均视为合同的补充、组成部分，与本合同具有同等法律效力。</w:t>
      </w:r>
    </w:p>
    <w:p w14:paraId="48674772">
      <w:pPr>
        <w:tabs>
          <w:tab w:val="left" w:pos="640"/>
        </w:tabs>
        <w:spacing w:line="360" w:lineRule="auto"/>
        <w:rPr>
          <w:rFonts w:hint="eastAsia" w:ascii="宋体" w:hAnsi="宋体" w:cs="宋体"/>
          <w:szCs w:val="21"/>
        </w:rPr>
      </w:pPr>
      <w:r>
        <w:rPr>
          <w:rFonts w:hint="eastAsia" w:ascii="宋体" w:hAnsi="宋体" w:cs="宋体"/>
          <w:szCs w:val="21"/>
        </w:rPr>
        <w:t>11.5双方同意将本合同签署区列明的联系方式作为各自接收对方通知的地址，如果本合同履行过程中发生任何纠纷，则前述地址视为对方邮寄催收函、律师函等文件以及人民法院邮寄法律文书的法定送达地址。</w:t>
      </w:r>
    </w:p>
    <w:p w14:paraId="41C70F77">
      <w:pPr>
        <w:pStyle w:val="12"/>
        <w:spacing w:line="360" w:lineRule="auto"/>
        <w:rPr>
          <w:rFonts w:hint="eastAsia" w:hAnsi="宋体" w:cs="宋体"/>
        </w:rPr>
      </w:pPr>
    </w:p>
    <w:p w14:paraId="4BE8B300">
      <w:pPr>
        <w:pStyle w:val="12"/>
        <w:spacing w:line="360" w:lineRule="auto"/>
        <w:rPr>
          <w:rFonts w:hint="eastAsia" w:hAnsi="宋体" w:cs="宋体"/>
        </w:rPr>
      </w:pPr>
      <w:r>
        <w:rPr>
          <w:rFonts w:hint="eastAsia" w:hAnsi="宋体" w:cs="宋体"/>
        </w:rPr>
        <w:t>甲方：                                乙方：</w:t>
      </w:r>
    </w:p>
    <w:p w14:paraId="3705C79B">
      <w:pPr>
        <w:spacing w:before="93" w:beforeLines="30" w:after="93" w:afterLines="30"/>
        <w:rPr>
          <w:rFonts w:hint="eastAsia" w:ascii="宋体" w:hAnsi="宋体" w:cs="宋体"/>
          <w:szCs w:val="21"/>
        </w:rPr>
      </w:pPr>
      <w:r>
        <w:rPr>
          <w:rFonts w:hint="eastAsia" w:ascii="宋体" w:hAnsi="宋体" w:cs="宋体"/>
          <w:szCs w:val="21"/>
        </w:rPr>
        <w:t>法人代表（签字）：                     法人代表（签字）：</w:t>
      </w:r>
    </w:p>
    <w:p w14:paraId="66D1E974">
      <w:pPr>
        <w:pStyle w:val="12"/>
        <w:spacing w:line="360" w:lineRule="auto"/>
        <w:rPr>
          <w:rFonts w:hint="eastAsia" w:hAnsi="宋体" w:cs="宋体"/>
        </w:rPr>
        <w:sectPr>
          <w:headerReference r:id="rId4" w:type="first"/>
          <w:headerReference r:id="rId3" w:type="default"/>
          <w:footerReference r:id="rId5" w:type="default"/>
          <w:pgSz w:w="11906" w:h="16838"/>
          <w:pgMar w:top="1440" w:right="1440" w:bottom="1440" w:left="1440" w:header="851" w:footer="992" w:gutter="227"/>
          <w:cols w:space="720" w:num="1"/>
          <w:titlePg/>
          <w:docGrid w:type="lines" w:linePitch="312" w:charSpace="0"/>
        </w:sectPr>
      </w:pPr>
      <w:r>
        <w:rPr>
          <w:rFonts w:hint="eastAsia" w:hAnsi="宋体" w:cs="宋体"/>
        </w:rPr>
        <w:t xml:space="preserve">签字日期：                            签字日期： </w:t>
      </w:r>
    </w:p>
    <w:p w14:paraId="385D3009">
      <w:pPr>
        <w:rPr>
          <w:rFonts w:hint="eastAsia" w:ascii="宋体" w:hAnsi="宋体" w:cs="宋体"/>
          <w:szCs w:val="21"/>
        </w:rPr>
      </w:pPr>
    </w:p>
    <w:p w14:paraId="2CE2B05E">
      <w:pPr>
        <w:rPr>
          <w:rFonts w:hint="eastAsia" w:ascii="宋体" w:hAnsi="宋体" w:cs="宋体"/>
          <w:szCs w:val="21"/>
        </w:rPr>
      </w:pPr>
      <w:r>
        <w:rPr>
          <w:rFonts w:hint="eastAsia" w:ascii="宋体" w:hAnsi="宋体" w:cs="宋体"/>
          <w:szCs w:val="21"/>
        </w:rPr>
        <w:t>附表1 药剂报价函</w:t>
      </w:r>
    </w:p>
    <w:tbl>
      <w:tblPr>
        <w:tblStyle w:val="25"/>
        <w:tblW w:w="1455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7"/>
        <w:gridCol w:w="1701"/>
        <w:gridCol w:w="1682"/>
        <w:gridCol w:w="1710"/>
        <w:gridCol w:w="1922"/>
        <w:gridCol w:w="1468"/>
        <w:gridCol w:w="1703"/>
        <w:gridCol w:w="1703"/>
      </w:tblGrid>
      <w:tr w14:paraId="0F4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2E7870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序号</w:t>
            </w:r>
          </w:p>
        </w:tc>
        <w:tc>
          <w:tcPr>
            <w:tcW w:w="1707" w:type="dxa"/>
            <w:vAlign w:val="center"/>
          </w:tcPr>
          <w:p w14:paraId="329E26F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名称</w:t>
            </w:r>
          </w:p>
        </w:tc>
        <w:tc>
          <w:tcPr>
            <w:tcW w:w="1701" w:type="dxa"/>
            <w:vAlign w:val="center"/>
          </w:tcPr>
          <w:p w14:paraId="2E300BB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药剂参数</w:t>
            </w:r>
          </w:p>
        </w:tc>
        <w:tc>
          <w:tcPr>
            <w:tcW w:w="1682" w:type="dxa"/>
            <w:vAlign w:val="center"/>
          </w:tcPr>
          <w:p w14:paraId="4CBB21F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包装规格</w:t>
            </w:r>
          </w:p>
        </w:tc>
        <w:tc>
          <w:tcPr>
            <w:tcW w:w="1710" w:type="dxa"/>
            <w:vAlign w:val="center"/>
          </w:tcPr>
          <w:p w14:paraId="0896B4CB">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品牌/产地</w:t>
            </w:r>
          </w:p>
        </w:tc>
        <w:tc>
          <w:tcPr>
            <w:tcW w:w="1922" w:type="dxa"/>
            <w:vAlign w:val="center"/>
          </w:tcPr>
          <w:p w14:paraId="0787BC4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购买数量（t）</w:t>
            </w:r>
          </w:p>
        </w:tc>
        <w:tc>
          <w:tcPr>
            <w:tcW w:w="1468" w:type="dxa"/>
            <w:vAlign w:val="center"/>
          </w:tcPr>
          <w:p w14:paraId="01D2D484">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送货频次</w:t>
            </w:r>
          </w:p>
        </w:tc>
        <w:tc>
          <w:tcPr>
            <w:tcW w:w="1703" w:type="dxa"/>
            <w:vAlign w:val="center"/>
          </w:tcPr>
          <w:p w14:paraId="22856F4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单价（元）含税</w:t>
            </w:r>
          </w:p>
        </w:tc>
        <w:tc>
          <w:tcPr>
            <w:tcW w:w="1703" w:type="dxa"/>
            <w:vAlign w:val="center"/>
          </w:tcPr>
          <w:p w14:paraId="03B6410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小计（元）含税</w:t>
            </w:r>
          </w:p>
        </w:tc>
      </w:tr>
      <w:tr w14:paraId="028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3995A1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w:t>
            </w:r>
          </w:p>
        </w:tc>
        <w:tc>
          <w:tcPr>
            <w:tcW w:w="1707" w:type="dxa"/>
            <w:vAlign w:val="center"/>
          </w:tcPr>
          <w:p w14:paraId="70FB9C97">
            <w:pPr>
              <w:widowControl/>
              <w:jc w:val="center"/>
              <w:textAlignment w:val="center"/>
              <w:rPr>
                <w:rFonts w:hint="eastAsia" w:ascii="宋体" w:hAnsi="宋体" w:cs="宋体"/>
                <w:szCs w:val="21"/>
              </w:rPr>
            </w:pPr>
          </w:p>
        </w:tc>
        <w:tc>
          <w:tcPr>
            <w:tcW w:w="1701" w:type="dxa"/>
            <w:vAlign w:val="center"/>
          </w:tcPr>
          <w:p w14:paraId="5FB72042">
            <w:pPr>
              <w:widowControl/>
              <w:jc w:val="center"/>
              <w:textAlignment w:val="center"/>
              <w:rPr>
                <w:rFonts w:hint="eastAsia" w:ascii="宋体" w:hAnsi="宋体" w:cs="宋体"/>
                <w:szCs w:val="21"/>
              </w:rPr>
            </w:pPr>
          </w:p>
        </w:tc>
        <w:tc>
          <w:tcPr>
            <w:tcW w:w="1682" w:type="dxa"/>
            <w:vAlign w:val="center"/>
          </w:tcPr>
          <w:p w14:paraId="631F95E4">
            <w:pPr>
              <w:widowControl/>
              <w:jc w:val="center"/>
              <w:textAlignment w:val="center"/>
              <w:rPr>
                <w:rFonts w:hint="eastAsia" w:ascii="宋体" w:hAnsi="宋体" w:cs="宋体"/>
                <w:szCs w:val="21"/>
              </w:rPr>
            </w:pPr>
          </w:p>
        </w:tc>
        <w:tc>
          <w:tcPr>
            <w:tcW w:w="1710" w:type="dxa"/>
            <w:vAlign w:val="center"/>
          </w:tcPr>
          <w:p w14:paraId="282DF233">
            <w:pPr>
              <w:widowControl/>
              <w:jc w:val="center"/>
              <w:textAlignment w:val="center"/>
              <w:rPr>
                <w:rFonts w:hint="eastAsia" w:ascii="宋体" w:hAnsi="宋体" w:cs="宋体"/>
                <w:szCs w:val="21"/>
              </w:rPr>
            </w:pPr>
          </w:p>
        </w:tc>
        <w:tc>
          <w:tcPr>
            <w:tcW w:w="1922" w:type="dxa"/>
            <w:vAlign w:val="center"/>
          </w:tcPr>
          <w:p w14:paraId="02D1B39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4D509">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6FBF3A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11FDCAA">
            <w:pPr>
              <w:spacing w:before="78" w:beforeLines="25" w:line="440" w:lineRule="exact"/>
              <w:ind w:left="-540" w:leftChars="-257" w:firstLine="472" w:firstLineChars="225"/>
              <w:jc w:val="center"/>
              <w:rPr>
                <w:rFonts w:hint="eastAsia" w:ascii="宋体" w:hAnsi="宋体" w:cs="宋体"/>
                <w:szCs w:val="21"/>
              </w:rPr>
            </w:pPr>
          </w:p>
        </w:tc>
      </w:tr>
      <w:tr w14:paraId="2719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64EBD4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2</w:t>
            </w:r>
          </w:p>
        </w:tc>
        <w:tc>
          <w:tcPr>
            <w:tcW w:w="1707" w:type="dxa"/>
            <w:vAlign w:val="center"/>
          </w:tcPr>
          <w:p w14:paraId="741F9845">
            <w:pPr>
              <w:widowControl/>
              <w:jc w:val="center"/>
              <w:textAlignment w:val="center"/>
              <w:rPr>
                <w:rFonts w:hint="eastAsia" w:ascii="宋体" w:hAnsi="宋体" w:cs="宋体"/>
                <w:szCs w:val="21"/>
              </w:rPr>
            </w:pPr>
          </w:p>
        </w:tc>
        <w:tc>
          <w:tcPr>
            <w:tcW w:w="1701" w:type="dxa"/>
            <w:vAlign w:val="center"/>
          </w:tcPr>
          <w:p w14:paraId="4AC317FA">
            <w:pPr>
              <w:jc w:val="center"/>
              <w:rPr>
                <w:rFonts w:hint="eastAsia" w:ascii="宋体" w:hAnsi="宋体" w:cs="宋体"/>
                <w:szCs w:val="21"/>
              </w:rPr>
            </w:pPr>
          </w:p>
        </w:tc>
        <w:tc>
          <w:tcPr>
            <w:tcW w:w="1682" w:type="dxa"/>
            <w:vAlign w:val="center"/>
          </w:tcPr>
          <w:p w14:paraId="548970D0">
            <w:pPr>
              <w:widowControl/>
              <w:jc w:val="center"/>
              <w:textAlignment w:val="center"/>
              <w:rPr>
                <w:rFonts w:hint="eastAsia" w:ascii="宋体" w:hAnsi="宋体" w:cs="宋体"/>
                <w:szCs w:val="21"/>
              </w:rPr>
            </w:pPr>
          </w:p>
        </w:tc>
        <w:tc>
          <w:tcPr>
            <w:tcW w:w="1710" w:type="dxa"/>
            <w:vAlign w:val="center"/>
          </w:tcPr>
          <w:p w14:paraId="576FC737">
            <w:pPr>
              <w:widowControl/>
              <w:jc w:val="center"/>
              <w:textAlignment w:val="center"/>
              <w:rPr>
                <w:rFonts w:hint="eastAsia" w:ascii="宋体" w:hAnsi="宋体" w:cs="宋体"/>
                <w:szCs w:val="21"/>
              </w:rPr>
            </w:pPr>
          </w:p>
        </w:tc>
        <w:tc>
          <w:tcPr>
            <w:tcW w:w="1922" w:type="dxa"/>
            <w:vAlign w:val="center"/>
          </w:tcPr>
          <w:p w14:paraId="0FC8D80F">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23B4046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4F031F8">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F858458">
            <w:pPr>
              <w:spacing w:before="78" w:beforeLines="25" w:line="440" w:lineRule="exact"/>
              <w:ind w:left="-540" w:leftChars="-257" w:firstLine="472" w:firstLineChars="225"/>
              <w:jc w:val="center"/>
              <w:rPr>
                <w:rFonts w:hint="eastAsia" w:ascii="宋体" w:hAnsi="宋体" w:cs="宋体"/>
                <w:szCs w:val="21"/>
              </w:rPr>
            </w:pPr>
          </w:p>
        </w:tc>
      </w:tr>
      <w:tr w14:paraId="180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68D14B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3</w:t>
            </w:r>
          </w:p>
        </w:tc>
        <w:tc>
          <w:tcPr>
            <w:tcW w:w="1707" w:type="dxa"/>
            <w:vAlign w:val="center"/>
          </w:tcPr>
          <w:p w14:paraId="67887388">
            <w:pPr>
              <w:widowControl/>
              <w:jc w:val="center"/>
              <w:textAlignment w:val="center"/>
              <w:rPr>
                <w:rFonts w:hint="eastAsia" w:ascii="宋体" w:hAnsi="宋体" w:cs="宋体"/>
                <w:szCs w:val="21"/>
              </w:rPr>
            </w:pPr>
          </w:p>
        </w:tc>
        <w:tc>
          <w:tcPr>
            <w:tcW w:w="1701" w:type="dxa"/>
            <w:vAlign w:val="center"/>
          </w:tcPr>
          <w:p w14:paraId="3E4CA90E">
            <w:pPr>
              <w:widowControl/>
              <w:jc w:val="center"/>
              <w:textAlignment w:val="center"/>
              <w:rPr>
                <w:rFonts w:hint="eastAsia" w:ascii="宋体" w:hAnsi="宋体" w:cs="宋体"/>
                <w:szCs w:val="21"/>
              </w:rPr>
            </w:pPr>
          </w:p>
        </w:tc>
        <w:tc>
          <w:tcPr>
            <w:tcW w:w="1682" w:type="dxa"/>
            <w:vAlign w:val="center"/>
          </w:tcPr>
          <w:p w14:paraId="4EA1F723">
            <w:pPr>
              <w:widowControl/>
              <w:jc w:val="center"/>
              <w:textAlignment w:val="center"/>
              <w:rPr>
                <w:rFonts w:hint="eastAsia" w:ascii="宋体" w:hAnsi="宋体" w:cs="宋体"/>
                <w:szCs w:val="21"/>
              </w:rPr>
            </w:pPr>
          </w:p>
        </w:tc>
        <w:tc>
          <w:tcPr>
            <w:tcW w:w="1710" w:type="dxa"/>
            <w:vAlign w:val="center"/>
          </w:tcPr>
          <w:p w14:paraId="5F55B4F8">
            <w:pPr>
              <w:widowControl/>
              <w:jc w:val="center"/>
              <w:textAlignment w:val="center"/>
              <w:rPr>
                <w:rFonts w:hint="eastAsia" w:ascii="宋体" w:hAnsi="宋体" w:cs="宋体"/>
                <w:szCs w:val="21"/>
              </w:rPr>
            </w:pPr>
          </w:p>
        </w:tc>
        <w:tc>
          <w:tcPr>
            <w:tcW w:w="1922" w:type="dxa"/>
            <w:vAlign w:val="center"/>
          </w:tcPr>
          <w:p w14:paraId="2E3C49B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37C7C1C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8C92C1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264775B">
            <w:pPr>
              <w:spacing w:before="78" w:beforeLines="25" w:line="440" w:lineRule="exact"/>
              <w:ind w:left="-540" w:leftChars="-257" w:firstLine="472" w:firstLineChars="225"/>
              <w:jc w:val="center"/>
              <w:rPr>
                <w:rFonts w:hint="eastAsia" w:ascii="宋体" w:hAnsi="宋体" w:cs="宋体"/>
                <w:szCs w:val="21"/>
              </w:rPr>
            </w:pPr>
          </w:p>
        </w:tc>
      </w:tr>
      <w:tr w14:paraId="593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A64F65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4</w:t>
            </w:r>
          </w:p>
        </w:tc>
        <w:tc>
          <w:tcPr>
            <w:tcW w:w="1707" w:type="dxa"/>
            <w:vAlign w:val="center"/>
          </w:tcPr>
          <w:p w14:paraId="11C7CCFF">
            <w:pPr>
              <w:widowControl/>
              <w:jc w:val="center"/>
              <w:textAlignment w:val="center"/>
              <w:rPr>
                <w:rFonts w:hint="eastAsia" w:ascii="宋体" w:hAnsi="宋体" w:cs="宋体"/>
                <w:szCs w:val="21"/>
              </w:rPr>
            </w:pPr>
          </w:p>
        </w:tc>
        <w:tc>
          <w:tcPr>
            <w:tcW w:w="1701" w:type="dxa"/>
            <w:vAlign w:val="center"/>
          </w:tcPr>
          <w:p w14:paraId="327C799B">
            <w:pPr>
              <w:widowControl/>
              <w:jc w:val="center"/>
              <w:textAlignment w:val="center"/>
              <w:rPr>
                <w:rFonts w:hint="eastAsia" w:ascii="宋体" w:hAnsi="宋体" w:cs="宋体"/>
                <w:szCs w:val="21"/>
              </w:rPr>
            </w:pPr>
          </w:p>
        </w:tc>
        <w:tc>
          <w:tcPr>
            <w:tcW w:w="1682" w:type="dxa"/>
            <w:vAlign w:val="center"/>
          </w:tcPr>
          <w:p w14:paraId="066AE2D8">
            <w:pPr>
              <w:widowControl/>
              <w:jc w:val="center"/>
              <w:textAlignment w:val="center"/>
              <w:rPr>
                <w:rFonts w:hint="eastAsia" w:ascii="宋体" w:hAnsi="宋体" w:cs="宋体"/>
                <w:szCs w:val="21"/>
              </w:rPr>
            </w:pPr>
          </w:p>
        </w:tc>
        <w:tc>
          <w:tcPr>
            <w:tcW w:w="1710" w:type="dxa"/>
            <w:vAlign w:val="center"/>
          </w:tcPr>
          <w:p w14:paraId="528F9AD2">
            <w:pPr>
              <w:widowControl/>
              <w:jc w:val="center"/>
              <w:textAlignment w:val="center"/>
              <w:rPr>
                <w:rFonts w:hint="eastAsia" w:ascii="宋体" w:hAnsi="宋体" w:cs="宋体"/>
                <w:szCs w:val="21"/>
              </w:rPr>
            </w:pPr>
          </w:p>
        </w:tc>
        <w:tc>
          <w:tcPr>
            <w:tcW w:w="1922" w:type="dxa"/>
            <w:vAlign w:val="center"/>
          </w:tcPr>
          <w:p w14:paraId="6D34F05E">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A18FF7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ACC2F7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E440BC1">
            <w:pPr>
              <w:spacing w:before="78" w:beforeLines="25" w:line="440" w:lineRule="exact"/>
              <w:ind w:left="-540" w:leftChars="-257" w:firstLine="472" w:firstLineChars="225"/>
              <w:jc w:val="center"/>
              <w:rPr>
                <w:rFonts w:hint="eastAsia" w:ascii="宋体" w:hAnsi="宋体" w:cs="宋体"/>
                <w:szCs w:val="21"/>
              </w:rPr>
            </w:pPr>
          </w:p>
        </w:tc>
      </w:tr>
      <w:tr w14:paraId="53A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845DBFA">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5</w:t>
            </w:r>
          </w:p>
        </w:tc>
        <w:tc>
          <w:tcPr>
            <w:tcW w:w="1707" w:type="dxa"/>
            <w:vAlign w:val="center"/>
          </w:tcPr>
          <w:p w14:paraId="6018319E">
            <w:pPr>
              <w:widowControl/>
              <w:jc w:val="center"/>
              <w:textAlignment w:val="center"/>
              <w:rPr>
                <w:rFonts w:hint="eastAsia" w:ascii="宋体" w:hAnsi="宋体" w:cs="宋体"/>
                <w:szCs w:val="21"/>
              </w:rPr>
            </w:pPr>
          </w:p>
        </w:tc>
        <w:tc>
          <w:tcPr>
            <w:tcW w:w="1701" w:type="dxa"/>
            <w:vAlign w:val="center"/>
          </w:tcPr>
          <w:p w14:paraId="799F6DC1">
            <w:pPr>
              <w:widowControl/>
              <w:jc w:val="center"/>
              <w:textAlignment w:val="center"/>
              <w:rPr>
                <w:rFonts w:hint="eastAsia" w:ascii="宋体" w:hAnsi="宋体" w:cs="宋体"/>
                <w:szCs w:val="21"/>
              </w:rPr>
            </w:pPr>
          </w:p>
        </w:tc>
        <w:tc>
          <w:tcPr>
            <w:tcW w:w="1682" w:type="dxa"/>
            <w:vAlign w:val="center"/>
          </w:tcPr>
          <w:p w14:paraId="747F9995">
            <w:pPr>
              <w:widowControl/>
              <w:jc w:val="center"/>
              <w:textAlignment w:val="center"/>
              <w:rPr>
                <w:rFonts w:hint="eastAsia" w:ascii="宋体" w:hAnsi="宋体" w:cs="宋体"/>
                <w:szCs w:val="21"/>
              </w:rPr>
            </w:pPr>
          </w:p>
        </w:tc>
        <w:tc>
          <w:tcPr>
            <w:tcW w:w="1710" w:type="dxa"/>
            <w:vAlign w:val="center"/>
          </w:tcPr>
          <w:p w14:paraId="791BE44C">
            <w:pPr>
              <w:widowControl/>
              <w:jc w:val="center"/>
              <w:textAlignment w:val="center"/>
              <w:rPr>
                <w:rFonts w:hint="eastAsia" w:ascii="宋体" w:hAnsi="宋体" w:cs="宋体"/>
                <w:szCs w:val="21"/>
              </w:rPr>
            </w:pPr>
          </w:p>
        </w:tc>
        <w:tc>
          <w:tcPr>
            <w:tcW w:w="1922" w:type="dxa"/>
            <w:vAlign w:val="center"/>
          </w:tcPr>
          <w:p w14:paraId="280E8501">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9373F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9A6ECC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C732F50">
            <w:pPr>
              <w:spacing w:before="78" w:beforeLines="25" w:line="440" w:lineRule="exact"/>
              <w:ind w:left="-540" w:leftChars="-257" w:firstLine="472" w:firstLineChars="225"/>
              <w:jc w:val="center"/>
              <w:rPr>
                <w:rFonts w:hint="eastAsia" w:ascii="宋体" w:hAnsi="宋体" w:cs="宋体"/>
                <w:szCs w:val="21"/>
              </w:rPr>
            </w:pPr>
          </w:p>
        </w:tc>
      </w:tr>
      <w:tr w14:paraId="324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ECA293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6</w:t>
            </w:r>
          </w:p>
        </w:tc>
        <w:tc>
          <w:tcPr>
            <w:tcW w:w="1707" w:type="dxa"/>
            <w:vAlign w:val="center"/>
          </w:tcPr>
          <w:p w14:paraId="60E03420">
            <w:pPr>
              <w:widowControl/>
              <w:jc w:val="center"/>
              <w:textAlignment w:val="center"/>
              <w:rPr>
                <w:rFonts w:hint="eastAsia" w:ascii="宋体" w:hAnsi="宋体" w:cs="宋体"/>
                <w:szCs w:val="21"/>
              </w:rPr>
            </w:pPr>
          </w:p>
        </w:tc>
        <w:tc>
          <w:tcPr>
            <w:tcW w:w="1701" w:type="dxa"/>
            <w:vAlign w:val="center"/>
          </w:tcPr>
          <w:p w14:paraId="6F69605C">
            <w:pPr>
              <w:widowControl/>
              <w:jc w:val="center"/>
              <w:textAlignment w:val="center"/>
              <w:rPr>
                <w:rFonts w:hint="eastAsia" w:ascii="宋体" w:hAnsi="宋体" w:cs="宋体"/>
                <w:szCs w:val="21"/>
              </w:rPr>
            </w:pPr>
          </w:p>
        </w:tc>
        <w:tc>
          <w:tcPr>
            <w:tcW w:w="1682" w:type="dxa"/>
            <w:vAlign w:val="center"/>
          </w:tcPr>
          <w:p w14:paraId="40B6C3CC">
            <w:pPr>
              <w:widowControl/>
              <w:jc w:val="center"/>
              <w:textAlignment w:val="center"/>
              <w:rPr>
                <w:rFonts w:hint="eastAsia" w:ascii="宋体" w:hAnsi="宋体" w:cs="宋体"/>
                <w:szCs w:val="21"/>
              </w:rPr>
            </w:pPr>
          </w:p>
        </w:tc>
        <w:tc>
          <w:tcPr>
            <w:tcW w:w="1710" w:type="dxa"/>
            <w:vAlign w:val="center"/>
          </w:tcPr>
          <w:p w14:paraId="15F97EA3">
            <w:pPr>
              <w:widowControl/>
              <w:jc w:val="center"/>
              <w:textAlignment w:val="center"/>
              <w:rPr>
                <w:rFonts w:hint="eastAsia" w:ascii="宋体" w:hAnsi="宋体" w:cs="宋体"/>
                <w:szCs w:val="21"/>
              </w:rPr>
            </w:pPr>
          </w:p>
        </w:tc>
        <w:tc>
          <w:tcPr>
            <w:tcW w:w="1922" w:type="dxa"/>
            <w:vAlign w:val="center"/>
          </w:tcPr>
          <w:p w14:paraId="2757C3A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27236C7">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758E453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301E830">
            <w:pPr>
              <w:spacing w:before="78" w:beforeLines="25" w:line="440" w:lineRule="exact"/>
              <w:ind w:left="-540" w:leftChars="-257" w:firstLine="472" w:firstLineChars="225"/>
              <w:jc w:val="center"/>
              <w:rPr>
                <w:rFonts w:hint="eastAsia" w:ascii="宋体" w:hAnsi="宋体" w:cs="宋体"/>
                <w:szCs w:val="21"/>
              </w:rPr>
            </w:pPr>
          </w:p>
        </w:tc>
      </w:tr>
      <w:tr w14:paraId="347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2" w:type="dxa"/>
            <w:vAlign w:val="center"/>
          </w:tcPr>
          <w:p w14:paraId="49597AD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7</w:t>
            </w:r>
          </w:p>
        </w:tc>
        <w:tc>
          <w:tcPr>
            <w:tcW w:w="1707" w:type="dxa"/>
            <w:vAlign w:val="center"/>
          </w:tcPr>
          <w:p w14:paraId="6BCA4F25">
            <w:pPr>
              <w:widowControl/>
              <w:jc w:val="center"/>
              <w:textAlignment w:val="center"/>
              <w:rPr>
                <w:rFonts w:hint="eastAsia" w:ascii="宋体" w:hAnsi="宋体" w:cs="宋体"/>
                <w:szCs w:val="21"/>
              </w:rPr>
            </w:pPr>
          </w:p>
        </w:tc>
        <w:tc>
          <w:tcPr>
            <w:tcW w:w="1701" w:type="dxa"/>
            <w:vAlign w:val="center"/>
          </w:tcPr>
          <w:p w14:paraId="2BE2F67C">
            <w:pPr>
              <w:widowControl/>
              <w:jc w:val="center"/>
              <w:textAlignment w:val="center"/>
              <w:rPr>
                <w:rFonts w:hint="eastAsia" w:ascii="宋体" w:hAnsi="宋体" w:cs="宋体"/>
                <w:szCs w:val="21"/>
              </w:rPr>
            </w:pPr>
          </w:p>
        </w:tc>
        <w:tc>
          <w:tcPr>
            <w:tcW w:w="1682" w:type="dxa"/>
            <w:vAlign w:val="center"/>
          </w:tcPr>
          <w:p w14:paraId="69D7D134">
            <w:pPr>
              <w:widowControl/>
              <w:jc w:val="center"/>
              <w:textAlignment w:val="center"/>
              <w:rPr>
                <w:rFonts w:hint="eastAsia" w:ascii="宋体" w:hAnsi="宋体" w:cs="宋体"/>
                <w:szCs w:val="21"/>
              </w:rPr>
            </w:pPr>
          </w:p>
        </w:tc>
        <w:tc>
          <w:tcPr>
            <w:tcW w:w="1710" w:type="dxa"/>
            <w:vAlign w:val="center"/>
          </w:tcPr>
          <w:p w14:paraId="32D0FA02">
            <w:pPr>
              <w:widowControl/>
              <w:jc w:val="center"/>
              <w:textAlignment w:val="center"/>
              <w:rPr>
                <w:rFonts w:hint="eastAsia" w:ascii="宋体" w:hAnsi="宋体" w:cs="宋体"/>
                <w:szCs w:val="21"/>
              </w:rPr>
            </w:pPr>
          </w:p>
        </w:tc>
        <w:tc>
          <w:tcPr>
            <w:tcW w:w="1922" w:type="dxa"/>
            <w:vAlign w:val="center"/>
          </w:tcPr>
          <w:p w14:paraId="19C767E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8FDB04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76A1C1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CC8B73A">
            <w:pPr>
              <w:spacing w:before="78" w:beforeLines="25" w:line="440" w:lineRule="exact"/>
              <w:ind w:left="-540" w:leftChars="-257" w:firstLine="472" w:firstLineChars="225"/>
              <w:jc w:val="center"/>
              <w:rPr>
                <w:rFonts w:hint="eastAsia" w:ascii="宋体" w:hAnsi="宋体" w:cs="宋体"/>
                <w:szCs w:val="21"/>
              </w:rPr>
            </w:pPr>
          </w:p>
        </w:tc>
      </w:tr>
      <w:tr w14:paraId="54B1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B7E46D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8</w:t>
            </w:r>
          </w:p>
        </w:tc>
        <w:tc>
          <w:tcPr>
            <w:tcW w:w="1707" w:type="dxa"/>
            <w:vAlign w:val="center"/>
          </w:tcPr>
          <w:p w14:paraId="43514AA8">
            <w:pPr>
              <w:widowControl/>
              <w:jc w:val="center"/>
              <w:textAlignment w:val="center"/>
              <w:rPr>
                <w:rFonts w:hint="eastAsia" w:ascii="宋体" w:hAnsi="宋体" w:cs="宋体"/>
                <w:szCs w:val="21"/>
              </w:rPr>
            </w:pPr>
          </w:p>
        </w:tc>
        <w:tc>
          <w:tcPr>
            <w:tcW w:w="1701" w:type="dxa"/>
            <w:vAlign w:val="center"/>
          </w:tcPr>
          <w:p w14:paraId="22BC7DE9">
            <w:pPr>
              <w:widowControl/>
              <w:jc w:val="center"/>
              <w:textAlignment w:val="center"/>
              <w:rPr>
                <w:rFonts w:hint="eastAsia" w:ascii="宋体" w:hAnsi="宋体" w:cs="宋体"/>
                <w:szCs w:val="21"/>
              </w:rPr>
            </w:pPr>
          </w:p>
        </w:tc>
        <w:tc>
          <w:tcPr>
            <w:tcW w:w="1682" w:type="dxa"/>
            <w:vAlign w:val="center"/>
          </w:tcPr>
          <w:p w14:paraId="24E7B06F">
            <w:pPr>
              <w:widowControl/>
              <w:jc w:val="center"/>
              <w:textAlignment w:val="center"/>
              <w:rPr>
                <w:rFonts w:hint="eastAsia" w:ascii="宋体" w:hAnsi="宋体" w:cs="宋体"/>
                <w:szCs w:val="21"/>
              </w:rPr>
            </w:pPr>
          </w:p>
        </w:tc>
        <w:tc>
          <w:tcPr>
            <w:tcW w:w="1710" w:type="dxa"/>
            <w:vAlign w:val="center"/>
          </w:tcPr>
          <w:p w14:paraId="3A0A9320">
            <w:pPr>
              <w:widowControl/>
              <w:jc w:val="center"/>
              <w:textAlignment w:val="center"/>
              <w:rPr>
                <w:rFonts w:hint="eastAsia" w:ascii="宋体" w:hAnsi="宋体" w:cs="宋体"/>
                <w:szCs w:val="21"/>
              </w:rPr>
            </w:pPr>
          </w:p>
        </w:tc>
        <w:tc>
          <w:tcPr>
            <w:tcW w:w="1922" w:type="dxa"/>
            <w:vAlign w:val="center"/>
          </w:tcPr>
          <w:p w14:paraId="1A63F95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7FBE91C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470BF1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59D0BCE">
            <w:pPr>
              <w:spacing w:before="78" w:beforeLines="25" w:line="440" w:lineRule="exact"/>
              <w:ind w:left="-540" w:leftChars="-257" w:firstLine="472" w:firstLineChars="225"/>
              <w:jc w:val="center"/>
              <w:rPr>
                <w:rFonts w:hint="eastAsia" w:ascii="宋体" w:hAnsi="宋体" w:cs="宋体"/>
                <w:szCs w:val="21"/>
              </w:rPr>
            </w:pPr>
          </w:p>
        </w:tc>
      </w:tr>
      <w:tr w14:paraId="2AB4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C37638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9</w:t>
            </w:r>
          </w:p>
        </w:tc>
        <w:tc>
          <w:tcPr>
            <w:tcW w:w="1707" w:type="dxa"/>
            <w:vAlign w:val="center"/>
          </w:tcPr>
          <w:p w14:paraId="5C2E20F6">
            <w:pPr>
              <w:widowControl/>
              <w:jc w:val="center"/>
              <w:textAlignment w:val="center"/>
              <w:rPr>
                <w:rFonts w:hint="eastAsia" w:ascii="宋体" w:hAnsi="宋体" w:cs="宋体"/>
                <w:szCs w:val="21"/>
              </w:rPr>
            </w:pPr>
          </w:p>
        </w:tc>
        <w:tc>
          <w:tcPr>
            <w:tcW w:w="1701" w:type="dxa"/>
            <w:vAlign w:val="center"/>
          </w:tcPr>
          <w:p w14:paraId="53EA43ED">
            <w:pPr>
              <w:widowControl/>
              <w:jc w:val="center"/>
              <w:textAlignment w:val="center"/>
              <w:rPr>
                <w:rFonts w:hint="eastAsia" w:ascii="宋体" w:hAnsi="宋体" w:cs="宋体"/>
                <w:szCs w:val="21"/>
              </w:rPr>
            </w:pPr>
          </w:p>
        </w:tc>
        <w:tc>
          <w:tcPr>
            <w:tcW w:w="1682" w:type="dxa"/>
            <w:vAlign w:val="center"/>
          </w:tcPr>
          <w:p w14:paraId="1D38040E">
            <w:pPr>
              <w:widowControl/>
              <w:jc w:val="center"/>
              <w:textAlignment w:val="center"/>
              <w:rPr>
                <w:rFonts w:hint="eastAsia" w:ascii="宋体" w:hAnsi="宋体" w:cs="宋体"/>
                <w:szCs w:val="21"/>
              </w:rPr>
            </w:pPr>
          </w:p>
        </w:tc>
        <w:tc>
          <w:tcPr>
            <w:tcW w:w="1710" w:type="dxa"/>
            <w:vAlign w:val="center"/>
          </w:tcPr>
          <w:p w14:paraId="1223B470">
            <w:pPr>
              <w:widowControl/>
              <w:jc w:val="center"/>
              <w:textAlignment w:val="center"/>
              <w:rPr>
                <w:rFonts w:hint="eastAsia" w:ascii="宋体" w:hAnsi="宋体" w:cs="宋体"/>
                <w:szCs w:val="21"/>
              </w:rPr>
            </w:pPr>
          </w:p>
        </w:tc>
        <w:tc>
          <w:tcPr>
            <w:tcW w:w="1922" w:type="dxa"/>
            <w:vAlign w:val="center"/>
          </w:tcPr>
          <w:p w14:paraId="0ABABA1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AD6091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93B50B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B3B99B">
            <w:pPr>
              <w:spacing w:before="78" w:beforeLines="25" w:line="440" w:lineRule="exact"/>
              <w:ind w:left="-540" w:leftChars="-257" w:firstLine="472" w:firstLineChars="225"/>
              <w:jc w:val="center"/>
              <w:rPr>
                <w:rFonts w:hint="eastAsia" w:ascii="宋体" w:hAnsi="宋体" w:cs="宋体"/>
                <w:szCs w:val="21"/>
              </w:rPr>
            </w:pPr>
          </w:p>
        </w:tc>
      </w:tr>
      <w:tr w14:paraId="55C3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3E08286">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10</w:t>
            </w:r>
          </w:p>
        </w:tc>
        <w:tc>
          <w:tcPr>
            <w:tcW w:w="1707" w:type="dxa"/>
            <w:vAlign w:val="center"/>
          </w:tcPr>
          <w:p w14:paraId="1DE9BB04">
            <w:pPr>
              <w:widowControl/>
              <w:jc w:val="center"/>
              <w:textAlignment w:val="center"/>
              <w:rPr>
                <w:rFonts w:hint="eastAsia" w:ascii="宋体" w:hAnsi="宋体" w:cs="宋体"/>
                <w:szCs w:val="21"/>
              </w:rPr>
            </w:pPr>
          </w:p>
        </w:tc>
        <w:tc>
          <w:tcPr>
            <w:tcW w:w="1701" w:type="dxa"/>
            <w:vAlign w:val="center"/>
          </w:tcPr>
          <w:p w14:paraId="1A4D0D31">
            <w:pPr>
              <w:widowControl/>
              <w:jc w:val="center"/>
              <w:textAlignment w:val="center"/>
              <w:rPr>
                <w:rFonts w:hint="eastAsia" w:ascii="宋体" w:hAnsi="宋体" w:cs="宋体"/>
                <w:szCs w:val="21"/>
              </w:rPr>
            </w:pPr>
          </w:p>
        </w:tc>
        <w:tc>
          <w:tcPr>
            <w:tcW w:w="1682" w:type="dxa"/>
            <w:vAlign w:val="center"/>
          </w:tcPr>
          <w:p w14:paraId="7F2E96A5">
            <w:pPr>
              <w:widowControl/>
              <w:jc w:val="center"/>
              <w:textAlignment w:val="center"/>
              <w:rPr>
                <w:rFonts w:hint="eastAsia" w:ascii="宋体" w:hAnsi="宋体" w:cs="宋体"/>
                <w:szCs w:val="21"/>
              </w:rPr>
            </w:pPr>
          </w:p>
        </w:tc>
        <w:tc>
          <w:tcPr>
            <w:tcW w:w="1710" w:type="dxa"/>
            <w:vAlign w:val="center"/>
          </w:tcPr>
          <w:p w14:paraId="15F5BE37">
            <w:pPr>
              <w:widowControl/>
              <w:jc w:val="center"/>
              <w:textAlignment w:val="center"/>
              <w:rPr>
                <w:rFonts w:hint="eastAsia" w:ascii="宋体" w:hAnsi="宋体" w:cs="宋体"/>
                <w:szCs w:val="21"/>
              </w:rPr>
            </w:pPr>
          </w:p>
        </w:tc>
        <w:tc>
          <w:tcPr>
            <w:tcW w:w="1922" w:type="dxa"/>
            <w:vAlign w:val="center"/>
          </w:tcPr>
          <w:p w14:paraId="123CF94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9440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16A04">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2B554E0">
            <w:pPr>
              <w:spacing w:before="78" w:beforeLines="25" w:line="440" w:lineRule="exact"/>
              <w:ind w:left="-540" w:leftChars="-257" w:firstLine="472" w:firstLineChars="225"/>
              <w:jc w:val="center"/>
              <w:rPr>
                <w:rFonts w:hint="eastAsia" w:ascii="宋体" w:hAnsi="宋体" w:cs="宋体"/>
                <w:szCs w:val="21"/>
              </w:rPr>
            </w:pPr>
          </w:p>
        </w:tc>
      </w:tr>
      <w:tr w14:paraId="4F4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13BFEE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11</w:t>
            </w:r>
          </w:p>
        </w:tc>
        <w:tc>
          <w:tcPr>
            <w:tcW w:w="1707" w:type="dxa"/>
            <w:vAlign w:val="center"/>
          </w:tcPr>
          <w:p w14:paraId="126D2A7E">
            <w:pPr>
              <w:widowControl/>
              <w:jc w:val="center"/>
              <w:textAlignment w:val="center"/>
              <w:rPr>
                <w:rFonts w:hint="eastAsia" w:ascii="宋体" w:hAnsi="宋体" w:cs="宋体"/>
                <w:szCs w:val="21"/>
              </w:rPr>
            </w:pPr>
          </w:p>
        </w:tc>
        <w:tc>
          <w:tcPr>
            <w:tcW w:w="1701" w:type="dxa"/>
            <w:vAlign w:val="center"/>
          </w:tcPr>
          <w:p w14:paraId="041337D7">
            <w:pPr>
              <w:widowControl/>
              <w:jc w:val="center"/>
              <w:textAlignment w:val="center"/>
              <w:rPr>
                <w:rFonts w:hint="eastAsia" w:ascii="宋体" w:hAnsi="宋体" w:cs="宋体"/>
                <w:szCs w:val="21"/>
              </w:rPr>
            </w:pPr>
          </w:p>
        </w:tc>
        <w:tc>
          <w:tcPr>
            <w:tcW w:w="1682" w:type="dxa"/>
            <w:vAlign w:val="center"/>
          </w:tcPr>
          <w:p w14:paraId="22DDE3AC">
            <w:pPr>
              <w:widowControl/>
              <w:jc w:val="center"/>
              <w:textAlignment w:val="center"/>
              <w:rPr>
                <w:rFonts w:hint="eastAsia" w:ascii="宋体" w:hAnsi="宋体" w:cs="宋体"/>
                <w:szCs w:val="21"/>
              </w:rPr>
            </w:pPr>
          </w:p>
        </w:tc>
        <w:tc>
          <w:tcPr>
            <w:tcW w:w="1710" w:type="dxa"/>
            <w:vAlign w:val="center"/>
          </w:tcPr>
          <w:p w14:paraId="627BD612">
            <w:pPr>
              <w:widowControl/>
              <w:jc w:val="center"/>
              <w:textAlignment w:val="center"/>
              <w:rPr>
                <w:rFonts w:hint="eastAsia" w:ascii="宋体" w:hAnsi="宋体" w:cs="宋体"/>
                <w:szCs w:val="21"/>
              </w:rPr>
            </w:pPr>
          </w:p>
        </w:tc>
        <w:tc>
          <w:tcPr>
            <w:tcW w:w="1922" w:type="dxa"/>
            <w:vAlign w:val="center"/>
          </w:tcPr>
          <w:p w14:paraId="7370EB45">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11443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2FC4B2">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DDCCDD8">
            <w:pPr>
              <w:spacing w:before="78" w:beforeLines="25" w:line="440" w:lineRule="exact"/>
              <w:ind w:left="-540" w:leftChars="-257" w:firstLine="472" w:firstLineChars="225"/>
              <w:jc w:val="center"/>
              <w:rPr>
                <w:rFonts w:hint="eastAsia" w:ascii="宋体" w:hAnsi="宋体" w:cs="宋体"/>
                <w:szCs w:val="21"/>
              </w:rPr>
            </w:pPr>
          </w:p>
        </w:tc>
      </w:tr>
      <w:tr w14:paraId="7CA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618CE5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12</w:t>
            </w:r>
          </w:p>
        </w:tc>
        <w:tc>
          <w:tcPr>
            <w:tcW w:w="1707" w:type="dxa"/>
            <w:vAlign w:val="center"/>
          </w:tcPr>
          <w:p w14:paraId="0026BD20">
            <w:pPr>
              <w:widowControl/>
              <w:jc w:val="center"/>
              <w:textAlignment w:val="center"/>
              <w:rPr>
                <w:rFonts w:hint="eastAsia" w:ascii="宋体" w:hAnsi="宋体" w:cs="宋体"/>
                <w:szCs w:val="21"/>
              </w:rPr>
            </w:pPr>
          </w:p>
        </w:tc>
        <w:tc>
          <w:tcPr>
            <w:tcW w:w="1701" w:type="dxa"/>
            <w:vAlign w:val="center"/>
          </w:tcPr>
          <w:p w14:paraId="6D7BA64B">
            <w:pPr>
              <w:widowControl/>
              <w:jc w:val="center"/>
              <w:textAlignment w:val="center"/>
              <w:rPr>
                <w:rFonts w:hint="eastAsia" w:ascii="宋体" w:hAnsi="宋体" w:cs="宋体"/>
                <w:szCs w:val="21"/>
              </w:rPr>
            </w:pPr>
          </w:p>
        </w:tc>
        <w:tc>
          <w:tcPr>
            <w:tcW w:w="1682" w:type="dxa"/>
            <w:vAlign w:val="center"/>
          </w:tcPr>
          <w:p w14:paraId="509DBE15">
            <w:pPr>
              <w:widowControl/>
              <w:jc w:val="center"/>
              <w:textAlignment w:val="center"/>
              <w:rPr>
                <w:rFonts w:hint="eastAsia" w:ascii="宋体" w:hAnsi="宋体" w:cs="宋体"/>
                <w:szCs w:val="21"/>
              </w:rPr>
            </w:pPr>
          </w:p>
        </w:tc>
        <w:tc>
          <w:tcPr>
            <w:tcW w:w="1710" w:type="dxa"/>
            <w:vAlign w:val="center"/>
          </w:tcPr>
          <w:p w14:paraId="289CC002">
            <w:pPr>
              <w:widowControl/>
              <w:jc w:val="center"/>
              <w:textAlignment w:val="center"/>
              <w:rPr>
                <w:rFonts w:hint="eastAsia" w:ascii="宋体" w:hAnsi="宋体" w:cs="宋体"/>
                <w:szCs w:val="21"/>
              </w:rPr>
            </w:pPr>
          </w:p>
        </w:tc>
        <w:tc>
          <w:tcPr>
            <w:tcW w:w="1922" w:type="dxa"/>
            <w:vAlign w:val="center"/>
          </w:tcPr>
          <w:p w14:paraId="69CC31F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3B6810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F753D3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EC45690">
            <w:pPr>
              <w:spacing w:before="78" w:beforeLines="25" w:line="440" w:lineRule="exact"/>
              <w:ind w:left="-540" w:leftChars="-257" w:firstLine="472" w:firstLineChars="225"/>
              <w:jc w:val="center"/>
              <w:rPr>
                <w:rFonts w:hint="eastAsia" w:ascii="宋体" w:hAnsi="宋体" w:cs="宋体"/>
                <w:szCs w:val="21"/>
              </w:rPr>
            </w:pPr>
          </w:p>
        </w:tc>
      </w:tr>
      <w:tr w14:paraId="6DE9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0AC64E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13</w:t>
            </w:r>
          </w:p>
        </w:tc>
        <w:tc>
          <w:tcPr>
            <w:tcW w:w="1707" w:type="dxa"/>
            <w:vAlign w:val="center"/>
          </w:tcPr>
          <w:p w14:paraId="260CB589">
            <w:pPr>
              <w:widowControl/>
              <w:jc w:val="center"/>
              <w:textAlignment w:val="center"/>
              <w:rPr>
                <w:rFonts w:hint="eastAsia" w:ascii="宋体" w:hAnsi="宋体" w:cs="宋体"/>
                <w:szCs w:val="21"/>
              </w:rPr>
            </w:pPr>
          </w:p>
        </w:tc>
        <w:tc>
          <w:tcPr>
            <w:tcW w:w="1701" w:type="dxa"/>
            <w:vAlign w:val="center"/>
          </w:tcPr>
          <w:p w14:paraId="11BD3528">
            <w:pPr>
              <w:widowControl/>
              <w:jc w:val="center"/>
              <w:textAlignment w:val="center"/>
              <w:rPr>
                <w:rFonts w:hint="eastAsia" w:ascii="宋体" w:hAnsi="宋体" w:cs="宋体"/>
                <w:szCs w:val="21"/>
              </w:rPr>
            </w:pPr>
          </w:p>
        </w:tc>
        <w:tc>
          <w:tcPr>
            <w:tcW w:w="1682" w:type="dxa"/>
            <w:vAlign w:val="center"/>
          </w:tcPr>
          <w:p w14:paraId="7B627AE0">
            <w:pPr>
              <w:widowControl/>
              <w:jc w:val="center"/>
              <w:textAlignment w:val="center"/>
              <w:rPr>
                <w:rFonts w:hint="eastAsia" w:ascii="宋体" w:hAnsi="宋体" w:cs="宋体"/>
                <w:szCs w:val="21"/>
              </w:rPr>
            </w:pPr>
          </w:p>
        </w:tc>
        <w:tc>
          <w:tcPr>
            <w:tcW w:w="1710" w:type="dxa"/>
            <w:vAlign w:val="center"/>
          </w:tcPr>
          <w:p w14:paraId="16B407B1">
            <w:pPr>
              <w:widowControl/>
              <w:jc w:val="center"/>
              <w:textAlignment w:val="center"/>
              <w:rPr>
                <w:rFonts w:hint="eastAsia" w:ascii="宋体" w:hAnsi="宋体" w:cs="宋体"/>
                <w:szCs w:val="21"/>
              </w:rPr>
            </w:pPr>
          </w:p>
        </w:tc>
        <w:tc>
          <w:tcPr>
            <w:tcW w:w="1922" w:type="dxa"/>
            <w:vAlign w:val="center"/>
          </w:tcPr>
          <w:p w14:paraId="779939B8">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3C8921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AAB0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B1403BB">
            <w:pPr>
              <w:spacing w:before="78" w:beforeLines="25" w:line="440" w:lineRule="exact"/>
              <w:ind w:left="-540" w:leftChars="-257" w:firstLine="472" w:firstLineChars="225"/>
              <w:jc w:val="center"/>
              <w:rPr>
                <w:rFonts w:hint="eastAsia" w:ascii="宋体" w:hAnsi="宋体" w:cs="宋体"/>
                <w:szCs w:val="21"/>
              </w:rPr>
            </w:pPr>
          </w:p>
        </w:tc>
      </w:tr>
      <w:tr w14:paraId="5425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5" w:type="dxa"/>
            <w:gridSpan w:val="8"/>
            <w:vAlign w:val="center"/>
          </w:tcPr>
          <w:p w14:paraId="30660B6A">
            <w:pPr>
              <w:spacing w:before="78" w:beforeLines="25" w:line="440" w:lineRule="exact"/>
              <w:ind w:left="-540" w:leftChars="-257" w:firstLine="472" w:firstLineChars="225"/>
              <w:jc w:val="right"/>
              <w:rPr>
                <w:rFonts w:hint="eastAsia" w:ascii="宋体" w:hAnsi="宋体" w:cs="宋体"/>
                <w:szCs w:val="21"/>
              </w:rPr>
            </w:pPr>
            <w:r>
              <w:rPr>
                <w:rFonts w:hint="eastAsia" w:ascii="宋体" w:hAnsi="宋体" w:cs="宋体"/>
                <w:szCs w:val="21"/>
              </w:rPr>
              <w:t>合计</w:t>
            </w:r>
          </w:p>
        </w:tc>
        <w:tc>
          <w:tcPr>
            <w:tcW w:w="1703" w:type="dxa"/>
            <w:vAlign w:val="center"/>
          </w:tcPr>
          <w:p w14:paraId="3022BD44">
            <w:pPr>
              <w:spacing w:before="78" w:beforeLines="25" w:line="440" w:lineRule="exact"/>
              <w:ind w:left="-540" w:leftChars="-257" w:firstLine="472" w:firstLineChars="225"/>
              <w:jc w:val="center"/>
              <w:rPr>
                <w:rFonts w:hint="eastAsia" w:ascii="宋体" w:hAnsi="宋体" w:cs="宋体"/>
                <w:szCs w:val="21"/>
              </w:rPr>
            </w:pPr>
          </w:p>
        </w:tc>
      </w:tr>
    </w:tbl>
    <w:p w14:paraId="4EA4BE6D">
      <w:pPr>
        <w:ind w:left="862"/>
        <w:rPr>
          <w:rFonts w:hint="eastAsia" w:ascii="宋体" w:hAnsi="宋体" w:cs="宋体"/>
          <w:szCs w:val="21"/>
        </w:rPr>
        <w:sectPr>
          <w:pgSz w:w="16838" w:h="11906" w:orient="landscape"/>
          <w:pgMar w:top="1080" w:right="1440" w:bottom="1080" w:left="1440" w:header="851" w:footer="992" w:gutter="227"/>
          <w:cols w:space="720" w:num="1"/>
          <w:titlePg/>
          <w:docGrid w:type="lines" w:linePitch="312" w:charSpace="0"/>
        </w:sectPr>
      </w:pPr>
    </w:p>
    <w:p w14:paraId="372A28DE">
      <w:pPr>
        <w:spacing w:line="360" w:lineRule="auto"/>
        <w:rPr>
          <w:rFonts w:hint="eastAsia" w:ascii="宋体" w:hAnsi="宋体" w:cs="宋体"/>
          <w:szCs w:val="21"/>
        </w:rPr>
      </w:pPr>
    </w:p>
    <w:p w14:paraId="18A7F5AD">
      <w:pPr>
        <w:spacing w:line="360" w:lineRule="auto"/>
        <w:rPr>
          <w:rFonts w:hint="eastAsia" w:ascii="宋体" w:hAnsi="宋体" w:cs="宋体"/>
          <w:szCs w:val="21"/>
        </w:rPr>
      </w:pPr>
      <w:r>
        <w:rPr>
          <w:rFonts w:hint="eastAsia" w:ascii="宋体" w:hAnsi="宋体" w:cs="宋体"/>
          <w:szCs w:val="21"/>
        </w:rPr>
        <w:t>附表2                                  装     箱    清    单</w:t>
      </w:r>
    </w:p>
    <w:p w14:paraId="203E5EC6">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制造厂：</w:t>
      </w:r>
      <w:r>
        <w:rPr>
          <w:rFonts w:hint="eastAsia" w:ascii="宋体" w:hAnsi="宋体" w:cs="宋体"/>
          <w:szCs w:val="21"/>
          <w:u w:val="single"/>
        </w:rPr>
        <w:t xml:space="preserve">                               </w:t>
      </w:r>
      <w:r>
        <w:rPr>
          <w:rFonts w:hint="eastAsia" w:ascii="宋体" w:hAnsi="宋体" w:cs="宋体"/>
          <w:szCs w:val="21"/>
        </w:rPr>
        <w:t>编号：</w:t>
      </w:r>
      <w:r>
        <w:rPr>
          <w:rFonts w:hint="eastAsia" w:ascii="宋体" w:hAnsi="宋体" w:cs="宋体"/>
          <w:szCs w:val="21"/>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35"/>
        <w:gridCol w:w="2086"/>
        <w:gridCol w:w="1959"/>
        <w:gridCol w:w="1484"/>
        <w:gridCol w:w="1336"/>
        <w:gridCol w:w="1454"/>
        <w:gridCol w:w="1274"/>
        <w:gridCol w:w="2313"/>
      </w:tblGrid>
      <w:tr w14:paraId="5EB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94" w:type="dxa"/>
            <w:vAlign w:val="center"/>
          </w:tcPr>
          <w:p w14:paraId="1843C0C6">
            <w:pPr>
              <w:jc w:val="center"/>
              <w:rPr>
                <w:rFonts w:hint="eastAsia" w:ascii="宋体" w:hAnsi="宋体" w:cs="宋体"/>
                <w:szCs w:val="21"/>
              </w:rPr>
            </w:pPr>
            <w:r>
              <w:rPr>
                <w:rFonts w:hint="eastAsia" w:ascii="宋体" w:hAnsi="宋体" w:cs="宋体"/>
                <w:szCs w:val="21"/>
              </w:rPr>
              <w:t>序号</w:t>
            </w:r>
          </w:p>
        </w:tc>
        <w:tc>
          <w:tcPr>
            <w:tcW w:w="1235" w:type="dxa"/>
            <w:vAlign w:val="center"/>
          </w:tcPr>
          <w:p w14:paraId="6455F945">
            <w:pPr>
              <w:jc w:val="center"/>
              <w:rPr>
                <w:rFonts w:hint="eastAsia" w:ascii="宋体" w:hAnsi="宋体" w:cs="宋体"/>
                <w:szCs w:val="21"/>
              </w:rPr>
            </w:pPr>
            <w:r>
              <w:rPr>
                <w:rFonts w:hint="eastAsia" w:ascii="宋体" w:hAnsi="宋体" w:cs="宋体"/>
                <w:szCs w:val="21"/>
              </w:rPr>
              <w:t>名称</w:t>
            </w:r>
          </w:p>
        </w:tc>
        <w:tc>
          <w:tcPr>
            <w:tcW w:w="2086" w:type="dxa"/>
            <w:vAlign w:val="center"/>
          </w:tcPr>
          <w:p w14:paraId="252D9128">
            <w:pPr>
              <w:jc w:val="center"/>
              <w:rPr>
                <w:rFonts w:hint="eastAsia" w:ascii="宋体" w:hAnsi="宋体" w:cs="宋体"/>
                <w:szCs w:val="21"/>
              </w:rPr>
            </w:pPr>
            <w:r>
              <w:rPr>
                <w:rFonts w:hint="eastAsia" w:ascii="宋体" w:hAnsi="宋体" w:cs="宋体"/>
                <w:szCs w:val="21"/>
              </w:rPr>
              <w:t>包装规格</w:t>
            </w:r>
          </w:p>
        </w:tc>
        <w:tc>
          <w:tcPr>
            <w:tcW w:w="1959" w:type="dxa"/>
            <w:vAlign w:val="center"/>
          </w:tcPr>
          <w:p w14:paraId="2A610937">
            <w:pPr>
              <w:jc w:val="center"/>
              <w:rPr>
                <w:rFonts w:hint="eastAsia" w:ascii="宋体" w:hAnsi="宋体" w:cs="宋体"/>
                <w:szCs w:val="21"/>
              </w:rPr>
            </w:pPr>
            <w:r>
              <w:rPr>
                <w:rFonts w:hint="eastAsia" w:ascii="宋体" w:hAnsi="宋体" w:cs="宋体"/>
                <w:szCs w:val="21"/>
              </w:rPr>
              <w:t>品牌/产地</w:t>
            </w:r>
          </w:p>
        </w:tc>
        <w:tc>
          <w:tcPr>
            <w:tcW w:w="1484" w:type="dxa"/>
            <w:vAlign w:val="center"/>
          </w:tcPr>
          <w:p w14:paraId="5939EBE1">
            <w:pPr>
              <w:jc w:val="center"/>
              <w:rPr>
                <w:rFonts w:hint="eastAsia" w:ascii="宋体" w:hAnsi="宋体" w:cs="宋体"/>
                <w:szCs w:val="21"/>
              </w:rPr>
            </w:pPr>
            <w:r>
              <w:rPr>
                <w:rFonts w:hint="eastAsia" w:ascii="宋体" w:hAnsi="宋体" w:cs="宋体"/>
                <w:szCs w:val="21"/>
              </w:rPr>
              <w:t>数量（t）</w:t>
            </w:r>
          </w:p>
        </w:tc>
        <w:tc>
          <w:tcPr>
            <w:tcW w:w="1336" w:type="dxa"/>
            <w:vAlign w:val="center"/>
          </w:tcPr>
          <w:p w14:paraId="25EFE12F">
            <w:pPr>
              <w:jc w:val="center"/>
              <w:rPr>
                <w:rFonts w:hint="eastAsia" w:ascii="宋体" w:hAnsi="宋体" w:cs="宋体"/>
                <w:szCs w:val="21"/>
              </w:rPr>
            </w:pPr>
            <w:r>
              <w:rPr>
                <w:rFonts w:hint="eastAsia" w:ascii="宋体" w:hAnsi="宋体" w:cs="宋体"/>
                <w:szCs w:val="21"/>
              </w:rPr>
              <w:t>主要规格</w:t>
            </w:r>
          </w:p>
        </w:tc>
        <w:tc>
          <w:tcPr>
            <w:tcW w:w="1454" w:type="dxa"/>
            <w:vAlign w:val="center"/>
          </w:tcPr>
          <w:p w14:paraId="5AE7D1D6">
            <w:pPr>
              <w:jc w:val="center"/>
              <w:rPr>
                <w:rFonts w:hint="eastAsia" w:ascii="宋体" w:hAnsi="宋体" w:cs="宋体"/>
                <w:szCs w:val="21"/>
              </w:rPr>
            </w:pPr>
            <w:r>
              <w:rPr>
                <w:rFonts w:hint="eastAsia" w:ascii="宋体" w:hAnsi="宋体" w:cs="宋体"/>
                <w:szCs w:val="21"/>
              </w:rPr>
              <w:t>单重kg</w:t>
            </w:r>
          </w:p>
        </w:tc>
        <w:tc>
          <w:tcPr>
            <w:tcW w:w="1274" w:type="dxa"/>
            <w:vAlign w:val="center"/>
          </w:tcPr>
          <w:p w14:paraId="47FCF52B">
            <w:pPr>
              <w:jc w:val="center"/>
              <w:rPr>
                <w:rFonts w:hint="eastAsia" w:ascii="宋体" w:hAnsi="宋体" w:cs="宋体"/>
                <w:szCs w:val="21"/>
              </w:rPr>
            </w:pPr>
            <w:r>
              <w:rPr>
                <w:rFonts w:hint="eastAsia" w:ascii="宋体" w:hAnsi="宋体" w:cs="宋体"/>
                <w:szCs w:val="21"/>
              </w:rPr>
              <w:t>总重kg</w:t>
            </w:r>
          </w:p>
        </w:tc>
        <w:tc>
          <w:tcPr>
            <w:tcW w:w="2313" w:type="dxa"/>
            <w:vAlign w:val="center"/>
          </w:tcPr>
          <w:p w14:paraId="52D6E32B">
            <w:pPr>
              <w:jc w:val="center"/>
              <w:rPr>
                <w:rFonts w:hint="eastAsia" w:ascii="宋体" w:hAnsi="宋体" w:cs="宋体"/>
                <w:szCs w:val="21"/>
              </w:rPr>
            </w:pPr>
            <w:r>
              <w:rPr>
                <w:rFonts w:hint="eastAsia" w:ascii="宋体" w:hAnsi="宋体" w:cs="宋体"/>
                <w:szCs w:val="21"/>
              </w:rPr>
              <w:t>包装形式</w:t>
            </w:r>
          </w:p>
        </w:tc>
      </w:tr>
      <w:tr w14:paraId="158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4A0B086">
            <w:pPr>
              <w:rPr>
                <w:rFonts w:hint="eastAsia" w:ascii="宋体" w:hAnsi="宋体" w:cs="宋体"/>
                <w:szCs w:val="21"/>
              </w:rPr>
            </w:pPr>
          </w:p>
        </w:tc>
        <w:tc>
          <w:tcPr>
            <w:tcW w:w="1235" w:type="dxa"/>
          </w:tcPr>
          <w:p w14:paraId="17DF8F73">
            <w:pPr>
              <w:rPr>
                <w:rFonts w:hint="eastAsia" w:ascii="宋体" w:hAnsi="宋体" w:cs="宋体"/>
                <w:szCs w:val="21"/>
              </w:rPr>
            </w:pPr>
          </w:p>
        </w:tc>
        <w:tc>
          <w:tcPr>
            <w:tcW w:w="2086" w:type="dxa"/>
          </w:tcPr>
          <w:p w14:paraId="6C153F82">
            <w:pPr>
              <w:rPr>
                <w:rFonts w:hint="eastAsia" w:ascii="宋体" w:hAnsi="宋体" w:cs="宋体"/>
                <w:szCs w:val="21"/>
              </w:rPr>
            </w:pPr>
          </w:p>
        </w:tc>
        <w:tc>
          <w:tcPr>
            <w:tcW w:w="1959" w:type="dxa"/>
          </w:tcPr>
          <w:p w14:paraId="457C5829">
            <w:pPr>
              <w:rPr>
                <w:rFonts w:hint="eastAsia" w:ascii="宋体" w:hAnsi="宋体" w:cs="宋体"/>
                <w:szCs w:val="21"/>
              </w:rPr>
            </w:pPr>
          </w:p>
        </w:tc>
        <w:tc>
          <w:tcPr>
            <w:tcW w:w="1484" w:type="dxa"/>
          </w:tcPr>
          <w:p w14:paraId="3F27DC1C">
            <w:pPr>
              <w:rPr>
                <w:rFonts w:hint="eastAsia" w:ascii="宋体" w:hAnsi="宋体" w:cs="宋体"/>
                <w:szCs w:val="21"/>
              </w:rPr>
            </w:pPr>
          </w:p>
        </w:tc>
        <w:tc>
          <w:tcPr>
            <w:tcW w:w="1336" w:type="dxa"/>
          </w:tcPr>
          <w:p w14:paraId="2C092312">
            <w:pPr>
              <w:rPr>
                <w:rFonts w:hint="eastAsia" w:ascii="宋体" w:hAnsi="宋体" w:cs="宋体"/>
                <w:szCs w:val="21"/>
              </w:rPr>
            </w:pPr>
          </w:p>
        </w:tc>
        <w:tc>
          <w:tcPr>
            <w:tcW w:w="1454" w:type="dxa"/>
          </w:tcPr>
          <w:p w14:paraId="2D93644C">
            <w:pPr>
              <w:rPr>
                <w:rFonts w:hint="eastAsia" w:ascii="宋体" w:hAnsi="宋体" w:cs="宋体"/>
                <w:szCs w:val="21"/>
              </w:rPr>
            </w:pPr>
          </w:p>
        </w:tc>
        <w:tc>
          <w:tcPr>
            <w:tcW w:w="1274" w:type="dxa"/>
          </w:tcPr>
          <w:p w14:paraId="537260C5">
            <w:pPr>
              <w:rPr>
                <w:rFonts w:hint="eastAsia" w:ascii="宋体" w:hAnsi="宋体" w:cs="宋体"/>
                <w:szCs w:val="21"/>
              </w:rPr>
            </w:pPr>
          </w:p>
        </w:tc>
        <w:tc>
          <w:tcPr>
            <w:tcW w:w="2313" w:type="dxa"/>
          </w:tcPr>
          <w:p w14:paraId="18AEC428">
            <w:pPr>
              <w:rPr>
                <w:rFonts w:hint="eastAsia" w:ascii="宋体" w:hAnsi="宋体" w:cs="宋体"/>
                <w:szCs w:val="21"/>
              </w:rPr>
            </w:pPr>
          </w:p>
        </w:tc>
      </w:tr>
      <w:tr w14:paraId="3D0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636DD592">
            <w:pPr>
              <w:rPr>
                <w:rFonts w:hint="eastAsia" w:ascii="宋体" w:hAnsi="宋体" w:cs="宋体"/>
                <w:szCs w:val="21"/>
              </w:rPr>
            </w:pPr>
          </w:p>
        </w:tc>
        <w:tc>
          <w:tcPr>
            <w:tcW w:w="1235" w:type="dxa"/>
          </w:tcPr>
          <w:p w14:paraId="35C8F051">
            <w:pPr>
              <w:rPr>
                <w:rFonts w:hint="eastAsia" w:ascii="宋体" w:hAnsi="宋体" w:cs="宋体"/>
                <w:szCs w:val="21"/>
              </w:rPr>
            </w:pPr>
          </w:p>
        </w:tc>
        <w:tc>
          <w:tcPr>
            <w:tcW w:w="2086" w:type="dxa"/>
          </w:tcPr>
          <w:p w14:paraId="311B3192">
            <w:pPr>
              <w:rPr>
                <w:rFonts w:hint="eastAsia" w:ascii="宋体" w:hAnsi="宋体" w:cs="宋体"/>
                <w:szCs w:val="21"/>
              </w:rPr>
            </w:pPr>
          </w:p>
        </w:tc>
        <w:tc>
          <w:tcPr>
            <w:tcW w:w="1959" w:type="dxa"/>
          </w:tcPr>
          <w:p w14:paraId="579DB84C">
            <w:pPr>
              <w:rPr>
                <w:rFonts w:hint="eastAsia" w:ascii="宋体" w:hAnsi="宋体" w:cs="宋体"/>
                <w:szCs w:val="21"/>
              </w:rPr>
            </w:pPr>
          </w:p>
        </w:tc>
        <w:tc>
          <w:tcPr>
            <w:tcW w:w="1484" w:type="dxa"/>
          </w:tcPr>
          <w:p w14:paraId="7FE0F71F">
            <w:pPr>
              <w:rPr>
                <w:rFonts w:hint="eastAsia" w:ascii="宋体" w:hAnsi="宋体" w:cs="宋体"/>
                <w:szCs w:val="21"/>
              </w:rPr>
            </w:pPr>
          </w:p>
        </w:tc>
        <w:tc>
          <w:tcPr>
            <w:tcW w:w="1336" w:type="dxa"/>
          </w:tcPr>
          <w:p w14:paraId="358CA77A">
            <w:pPr>
              <w:rPr>
                <w:rFonts w:hint="eastAsia" w:ascii="宋体" w:hAnsi="宋体" w:cs="宋体"/>
                <w:szCs w:val="21"/>
              </w:rPr>
            </w:pPr>
          </w:p>
        </w:tc>
        <w:tc>
          <w:tcPr>
            <w:tcW w:w="1454" w:type="dxa"/>
          </w:tcPr>
          <w:p w14:paraId="2789D97E">
            <w:pPr>
              <w:rPr>
                <w:rFonts w:hint="eastAsia" w:ascii="宋体" w:hAnsi="宋体" w:cs="宋体"/>
                <w:szCs w:val="21"/>
              </w:rPr>
            </w:pPr>
          </w:p>
        </w:tc>
        <w:tc>
          <w:tcPr>
            <w:tcW w:w="1274" w:type="dxa"/>
          </w:tcPr>
          <w:p w14:paraId="4A2BDEDF">
            <w:pPr>
              <w:rPr>
                <w:rFonts w:hint="eastAsia" w:ascii="宋体" w:hAnsi="宋体" w:cs="宋体"/>
                <w:szCs w:val="21"/>
              </w:rPr>
            </w:pPr>
          </w:p>
        </w:tc>
        <w:tc>
          <w:tcPr>
            <w:tcW w:w="2313" w:type="dxa"/>
          </w:tcPr>
          <w:p w14:paraId="70CC84F5">
            <w:pPr>
              <w:rPr>
                <w:rFonts w:hint="eastAsia" w:ascii="宋体" w:hAnsi="宋体" w:cs="宋体"/>
                <w:szCs w:val="21"/>
              </w:rPr>
            </w:pPr>
          </w:p>
        </w:tc>
      </w:tr>
      <w:tr w14:paraId="45D2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94" w:type="dxa"/>
          </w:tcPr>
          <w:p w14:paraId="188E12A9">
            <w:pPr>
              <w:rPr>
                <w:rFonts w:hint="eastAsia" w:ascii="宋体" w:hAnsi="宋体" w:cs="宋体"/>
                <w:szCs w:val="21"/>
              </w:rPr>
            </w:pPr>
          </w:p>
        </w:tc>
        <w:tc>
          <w:tcPr>
            <w:tcW w:w="1235" w:type="dxa"/>
          </w:tcPr>
          <w:p w14:paraId="7BC4ECF6">
            <w:pPr>
              <w:rPr>
                <w:rFonts w:hint="eastAsia" w:ascii="宋体" w:hAnsi="宋体" w:cs="宋体"/>
                <w:szCs w:val="21"/>
              </w:rPr>
            </w:pPr>
          </w:p>
        </w:tc>
        <w:tc>
          <w:tcPr>
            <w:tcW w:w="2086" w:type="dxa"/>
          </w:tcPr>
          <w:p w14:paraId="5CFCE718">
            <w:pPr>
              <w:rPr>
                <w:rFonts w:hint="eastAsia" w:ascii="宋体" w:hAnsi="宋体" w:cs="宋体"/>
                <w:szCs w:val="21"/>
              </w:rPr>
            </w:pPr>
          </w:p>
        </w:tc>
        <w:tc>
          <w:tcPr>
            <w:tcW w:w="1959" w:type="dxa"/>
          </w:tcPr>
          <w:p w14:paraId="1D99DECB">
            <w:pPr>
              <w:rPr>
                <w:rFonts w:hint="eastAsia" w:ascii="宋体" w:hAnsi="宋体" w:cs="宋体"/>
                <w:szCs w:val="21"/>
              </w:rPr>
            </w:pPr>
          </w:p>
        </w:tc>
        <w:tc>
          <w:tcPr>
            <w:tcW w:w="1484" w:type="dxa"/>
          </w:tcPr>
          <w:p w14:paraId="7CB0D261">
            <w:pPr>
              <w:rPr>
                <w:rFonts w:hint="eastAsia" w:ascii="宋体" w:hAnsi="宋体" w:cs="宋体"/>
                <w:szCs w:val="21"/>
              </w:rPr>
            </w:pPr>
          </w:p>
        </w:tc>
        <w:tc>
          <w:tcPr>
            <w:tcW w:w="1336" w:type="dxa"/>
          </w:tcPr>
          <w:p w14:paraId="39B8211E">
            <w:pPr>
              <w:rPr>
                <w:rFonts w:hint="eastAsia" w:ascii="宋体" w:hAnsi="宋体" w:cs="宋体"/>
                <w:szCs w:val="21"/>
              </w:rPr>
            </w:pPr>
          </w:p>
        </w:tc>
        <w:tc>
          <w:tcPr>
            <w:tcW w:w="1454" w:type="dxa"/>
          </w:tcPr>
          <w:p w14:paraId="7BE52625">
            <w:pPr>
              <w:rPr>
                <w:rFonts w:hint="eastAsia" w:ascii="宋体" w:hAnsi="宋体" w:cs="宋体"/>
                <w:szCs w:val="21"/>
              </w:rPr>
            </w:pPr>
          </w:p>
        </w:tc>
        <w:tc>
          <w:tcPr>
            <w:tcW w:w="1274" w:type="dxa"/>
          </w:tcPr>
          <w:p w14:paraId="50F76CDB">
            <w:pPr>
              <w:rPr>
                <w:rFonts w:hint="eastAsia" w:ascii="宋体" w:hAnsi="宋体" w:cs="宋体"/>
                <w:szCs w:val="21"/>
              </w:rPr>
            </w:pPr>
          </w:p>
        </w:tc>
        <w:tc>
          <w:tcPr>
            <w:tcW w:w="2313" w:type="dxa"/>
          </w:tcPr>
          <w:p w14:paraId="16D9E433">
            <w:pPr>
              <w:rPr>
                <w:rFonts w:hint="eastAsia" w:ascii="宋体" w:hAnsi="宋体" w:cs="宋体"/>
                <w:szCs w:val="21"/>
              </w:rPr>
            </w:pPr>
          </w:p>
        </w:tc>
      </w:tr>
      <w:tr w14:paraId="6AE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2E1FCBB">
            <w:pPr>
              <w:rPr>
                <w:rFonts w:hint="eastAsia" w:ascii="宋体" w:hAnsi="宋体" w:cs="宋体"/>
                <w:szCs w:val="21"/>
              </w:rPr>
            </w:pPr>
          </w:p>
        </w:tc>
        <w:tc>
          <w:tcPr>
            <w:tcW w:w="1235" w:type="dxa"/>
          </w:tcPr>
          <w:p w14:paraId="51AC1D99">
            <w:pPr>
              <w:rPr>
                <w:rFonts w:hint="eastAsia" w:ascii="宋体" w:hAnsi="宋体" w:cs="宋体"/>
                <w:szCs w:val="21"/>
              </w:rPr>
            </w:pPr>
          </w:p>
        </w:tc>
        <w:tc>
          <w:tcPr>
            <w:tcW w:w="2086" w:type="dxa"/>
          </w:tcPr>
          <w:p w14:paraId="5F245843">
            <w:pPr>
              <w:rPr>
                <w:rFonts w:hint="eastAsia" w:ascii="宋体" w:hAnsi="宋体" w:cs="宋体"/>
                <w:szCs w:val="21"/>
              </w:rPr>
            </w:pPr>
          </w:p>
        </w:tc>
        <w:tc>
          <w:tcPr>
            <w:tcW w:w="1959" w:type="dxa"/>
          </w:tcPr>
          <w:p w14:paraId="17AA59C6">
            <w:pPr>
              <w:rPr>
                <w:rFonts w:hint="eastAsia" w:ascii="宋体" w:hAnsi="宋体" w:cs="宋体"/>
                <w:szCs w:val="21"/>
              </w:rPr>
            </w:pPr>
          </w:p>
        </w:tc>
        <w:tc>
          <w:tcPr>
            <w:tcW w:w="1484" w:type="dxa"/>
          </w:tcPr>
          <w:p w14:paraId="6ABA98ED">
            <w:pPr>
              <w:rPr>
                <w:rFonts w:hint="eastAsia" w:ascii="宋体" w:hAnsi="宋体" w:cs="宋体"/>
                <w:szCs w:val="21"/>
              </w:rPr>
            </w:pPr>
          </w:p>
        </w:tc>
        <w:tc>
          <w:tcPr>
            <w:tcW w:w="1336" w:type="dxa"/>
          </w:tcPr>
          <w:p w14:paraId="3382EC58">
            <w:pPr>
              <w:rPr>
                <w:rFonts w:hint="eastAsia" w:ascii="宋体" w:hAnsi="宋体" w:cs="宋体"/>
                <w:szCs w:val="21"/>
              </w:rPr>
            </w:pPr>
          </w:p>
        </w:tc>
        <w:tc>
          <w:tcPr>
            <w:tcW w:w="1454" w:type="dxa"/>
          </w:tcPr>
          <w:p w14:paraId="554214B1">
            <w:pPr>
              <w:rPr>
                <w:rFonts w:hint="eastAsia" w:ascii="宋体" w:hAnsi="宋体" w:cs="宋体"/>
                <w:szCs w:val="21"/>
              </w:rPr>
            </w:pPr>
          </w:p>
        </w:tc>
        <w:tc>
          <w:tcPr>
            <w:tcW w:w="1274" w:type="dxa"/>
          </w:tcPr>
          <w:p w14:paraId="22ADB043">
            <w:pPr>
              <w:rPr>
                <w:rFonts w:hint="eastAsia" w:ascii="宋体" w:hAnsi="宋体" w:cs="宋体"/>
                <w:szCs w:val="21"/>
              </w:rPr>
            </w:pPr>
          </w:p>
        </w:tc>
        <w:tc>
          <w:tcPr>
            <w:tcW w:w="2313" w:type="dxa"/>
          </w:tcPr>
          <w:p w14:paraId="1349ED31">
            <w:pPr>
              <w:rPr>
                <w:rFonts w:hint="eastAsia" w:ascii="宋体" w:hAnsi="宋体" w:cs="宋体"/>
                <w:szCs w:val="21"/>
              </w:rPr>
            </w:pPr>
          </w:p>
        </w:tc>
      </w:tr>
      <w:tr w14:paraId="1A22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94" w:type="dxa"/>
          </w:tcPr>
          <w:p w14:paraId="5C8B9DA8">
            <w:pPr>
              <w:rPr>
                <w:rFonts w:hint="eastAsia" w:ascii="宋体" w:hAnsi="宋体" w:cs="宋体"/>
                <w:szCs w:val="21"/>
              </w:rPr>
            </w:pPr>
          </w:p>
        </w:tc>
        <w:tc>
          <w:tcPr>
            <w:tcW w:w="1235" w:type="dxa"/>
          </w:tcPr>
          <w:p w14:paraId="6FAA8E96">
            <w:pPr>
              <w:rPr>
                <w:rFonts w:hint="eastAsia" w:ascii="宋体" w:hAnsi="宋体" w:cs="宋体"/>
                <w:szCs w:val="21"/>
              </w:rPr>
            </w:pPr>
          </w:p>
        </w:tc>
        <w:tc>
          <w:tcPr>
            <w:tcW w:w="2086" w:type="dxa"/>
          </w:tcPr>
          <w:p w14:paraId="04381F0D">
            <w:pPr>
              <w:rPr>
                <w:rFonts w:hint="eastAsia" w:ascii="宋体" w:hAnsi="宋体" w:cs="宋体"/>
                <w:szCs w:val="21"/>
              </w:rPr>
            </w:pPr>
          </w:p>
        </w:tc>
        <w:tc>
          <w:tcPr>
            <w:tcW w:w="1959" w:type="dxa"/>
          </w:tcPr>
          <w:p w14:paraId="409D52B8">
            <w:pPr>
              <w:rPr>
                <w:rFonts w:hint="eastAsia" w:ascii="宋体" w:hAnsi="宋体" w:cs="宋体"/>
                <w:szCs w:val="21"/>
              </w:rPr>
            </w:pPr>
          </w:p>
        </w:tc>
        <w:tc>
          <w:tcPr>
            <w:tcW w:w="1484" w:type="dxa"/>
          </w:tcPr>
          <w:p w14:paraId="0F1DDA0B">
            <w:pPr>
              <w:rPr>
                <w:rFonts w:hint="eastAsia" w:ascii="宋体" w:hAnsi="宋体" w:cs="宋体"/>
                <w:szCs w:val="21"/>
              </w:rPr>
            </w:pPr>
          </w:p>
        </w:tc>
        <w:tc>
          <w:tcPr>
            <w:tcW w:w="1336" w:type="dxa"/>
          </w:tcPr>
          <w:p w14:paraId="56622CC2">
            <w:pPr>
              <w:rPr>
                <w:rFonts w:hint="eastAsia" w:ascii="宋体" w:hAnsi="宋体" w:cs="宋体"/>
                <w:szCs w:val="21"/>
              </w:rPr>
            </w:pPr>
          </w:p>
        </w:tc>
        <w:tc>
          <w:tcPr>
            <w:tcW w:w="1454" w:type="dxa"/>
          </w:tcPr>
          <w:p w14:paraId="4716A7E0">
            <w:pPr>
              <w:rPr>
                <w:rFonts w:hint="eastAsia" w:ascii="宋体" w:hAnsi="宋体" w:cs="宋体"/>
                <w:szCs w:val="21"/>
              </w:rPr>
            </w:pPr>
          </w:p>
        </w:tc>
        <w:tc>
          <w:tcPr>
            <w:tcW w:w="1274" w:type="dxa"/>
          </w:tcPr>
          <w:p w14:paraId="49DB0C6A">
            <w:pPr>
              <w:rPr>
                <w:rFonts w:hint="eastAsia" w:ascii="宋体" w:hAnsi="宋体" w:cs="宋体"/>
                <w:szCs w:val="21"/>
              </w:rPr>
            </w:pPr>
          </w:p>
        </w:tc>
        <w:tc>
          <w:tcPr>
            <w:tcW w:w="2313" w:type="dxa"/>
          </w:tcPr>
          <w:p w14:paraId="3080E2A3">
            <w:pPr>
              <w:rPr>
                <w:rFonts w:hint="eastAsia" w:ascii="宋体" w:hAnsi="宋体" w:cs="宋体"/>
                <w:szCs w:val="21"/>
              </w:rPr>
            </w:pPr>
          </w:p>
        </w:tc>
      </w:tr>
      <w:tr w14:paraId="46B2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19EB96B">
            <w:pPr>
              <w:rPr>
                <w:rFonts w:hint="eastAsia" w:ascii="宋体" w:hAnsi="宋体" w:cs="宋体"/>
                <w:szCs w:val="21"/>
              </w:rPr>
            </w:pPr>
          </w:p>
        </w:tc>
        <w:tc>
          <w:tcPr>
            <w:tcW w:w="1235" w:type="dxa"/>
          </w:tcPr>
          <w:p w14:paraId="6CE8285E">
            <w:pPr>
              <w:rPr>
                <w:rFonts w:hint="eastAsia" w:ascii="宋体" w:hAnsi="宋体" w:cs="宋体"/>
                <w:szCs w:val="21"/>
              </w:rPr>
            </w:pPr>
          </w:p>
        </w:tc>
        <w:tc>
          <w:tcPr>
            <w:tcW w:w="2086" w:type="dxa"/>
          </w:tcPr>
          <w:p w14:paraId="34C316F5">
            <w:pPr>
              <w:rPr>
                <w:rFonts w:hint="eastAsia" w:ascii="宋体" w:hAnsi="宋体" w:cs="宋体"/>
                <w:szCs w:val="21"/>
              </w:rPr>
            </w:pPr>
          </w:p>
        </w:tc>
        <w:tc>
          <w:tcPr>
            <w:tcW w:w="1959" w:type="dxa"/>
          </w:tcPr>
          <w:p w14:paraId="613B3F67">
            <w:pPr>
              <w:rPr>
                <w:rFonts w:hint="eastAsia" w:ascii="宋体" w:hAnsi="宋体" w:cs="宋体"/>
                <w:szCs w:val="21"/>
              </w:rPr>
            </w:pPr>
          </w:p>
        </w:tc>
        <w:tc>
          <w:tcPr>
            <w:tcW w:w="1484" w:type="dxa"/>
          </w:tcPr>
          <w:p w14:paraId="3C12EC78">
            <w:pPr>
              <w:rPr>
                <w:rFonts w:hint="eastAsia" w:ascii="宋体" w:hAnsi="宋体" w:cs="宋体"/>
                <w:szCs w:val="21"/>
              </w:rPr>
            </w:pPr>
          </w:p>
        </w:tc>
        <w:tc>
          <w:tcPr>
            <w:tcW w:w="1336" w:type="dxa"/>
          </w:tcPr>
          <w:p w14:paraId="70AA0511">
            <w:pPr>
              <w:rPr>
                <w:rFonts w:hint="eastAsia" w:ascii="宋体" w:hAnsi="宋体" w:cs="宋体"/>
                <w:szCs w:val="21"/>
              </w:rPr>
            </w:pPr>
          </w:p>
        </w:tc>
        <w:tc>
          <w:tcPr>
            <w:tcW w:w="1454" w:type="dxa"/>
          </w:tcPr>
          <w:p w14:paraId="0B43A57B">
            <w:pPr>
              <w:rPr>
                <w:rFonts w:hint="eastAsia" w:ascii="宋体" w:hAnsi="宋体" w:cs="宋体"/>
                <w:szCs w:val="21"/>
              </w:rPr>
            </w:pPr>
          </w:p>
        </w:tc>
        <w:tc>
          <w:tcPr>
            <w:tcW w:w="1274" w:type="dxa"/>
          </w:tcPr>
          <w:p w14:paraId="121D0CEF">
            <w:pPr>
              <w:rPr>
                <w:rFonts w:hint="eastAsia" w:ascii="宋体" w:hAnsi="宋体" w:cs="宋体"/>
                <w:szCs w:val="21"/>
              </w:rPr>
            </w:pPr>
          </w:p>
        </w:tc>
        <w:tc>
          <w:tcPr>
            <w:tcW w:w="2313" w:type="dxa"/>
          </w:tcPr>
          <w:p w14:paraId="2A342AA1">
            <w:pPr>
              <w:rPr>
                <w:rFonts w:hint="eastAsia" w:ascii="宋体" w:hAnsi="宋体" w:cs="宋体"/>
                <w:szCs w:val="21"/>
              </w:rPr>
            </w:pPr>
          </w:p>
        </w:tc>
      </w:tr>
      <w:tr w14:paraId="5BA4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3373E41">
            <w:pPr>
              <w:rPr>
                <w:rFonts w:hint="eastAsia" w:ascii="宋体" w:hAnsi="宋体" w:cs="宋体"/>
                <w:szCs w:val="21"/>
              </w:rPr>
            </w:pPr>
          </w:p>
        </w:tc>
        <w:tc>
          <w:tcPr>
            <w:tcW w:w="1235" w:type="dxa"/>
          </w:tcPr>
          <w:p w14:paraId="0E7DE3B0">
            <w:pPr>
              <w:rPr>
                <w:rFonts w:hint="eastAsia" w:ascii="宋体" w:hAnsi="宋体" w:cs="宋体"/>
                <w:szCs w:val="21"/>
              </w:rPr>
            </w:pPr>
          </w:p>
        </w:tc>
        <w:tc>
          <w:tcPr>
            <w:tcW w:w="2086" w:type="dxa"/>
          </w:tcPr>
          <w:p w14:paraId="5ABBC904">
            <w:pPr>
              <w:rPr>
                <w:rFonts w:hint="eastAsia" w:ascii="宋体" w:hAnsi="宋体" w:cs="宋体"/>
                <w:szCs w:val="21"/>
              </w:rPr>
            </w:pPr>
          </w:p>
        </w:tc>
        <w:tc>
          <w:tcPr>
            <w:tcW w:w="1959" w:type="dxa"/>
          </w:tcPr>
          <w:p w14:paraId="61487A48">
            <w:pPr>
              <w:rPr>
                <w:rFonts w:hint="eastAsia" w:ascii="宋体" w:hAnsi="宋体" w:cs="宋体"/>
                <w:szCs w:val="21"/>
              </w:rPr>
            </w:pPr>
          </w:p>
        </w:tc>
        <w:tc>
          <w:tcPr>
            <w:tcW w:w="1484" w:type="dxa"/>
          </w:tcPr>
          <w:p w14:paraId="0DD01D81">
            <w:pPr>
              <w:rPr>
                <w:rFonts w:hint="eastAsia" w:ascii="宋体" w:hAnsi="宋体" w:cs="宋体"/>
                <w:szCs w:val="21"/>
              </w:rPr>
            </w:pPr>
          </w:p>
        </w:tc>
        <w:tc>
          <w:tcPr>
            <w:tcW w:w="1336" w:type="dxa"/>
          </w:tcPr>
          <w:p w14:paraId="4A448BFE">
            <w:pPr>
              <w:rPr>
                <w:rFonts w:hint="eastAsia" w:ascii="宋体" w:hAnsi="宋体" w:cs="宋体"/>
                <w:szCs w:val="21"/>
              </w:rPr>
            </w:pPr>
          </w:p>
        </w:tc>
        <w:tc>
          <w:tcPr>
            <w:tcW w:w="1454" w:type="dxa"/>
          </w:tcPr>
          <w:p w14:paraId="10306D03">
            <w:pPr>
              <w:rPr>
                <w:rFonts w:hint="eastAsia" w:ascii="宋体" w:hAnsi="宋体" w:cs="宋体"/>
                <w:szCs w:val="21"/>
              </w:rPr>
            </w:pPr>
          </w:p>
        </w:tc>
        <w:tc>
          <w:tcPr>
            <w:tcW w:w="1274" w:type="dxa"/>
          </w:tcPr>
          <w:p w14:paraId="276D9100">
            <w:pPr>
              <w:rPr>
                <w:rFonts w:hint="eastAsia" w:ascii="宋体" w:hAnsi="宋体" w:cs="宋体"/>
                <w:szCs w:val="21"/>
              </w:rPr>
            </w:pPr>
          </w:p>
        </w:tc>
        <w:tc>
          <w:tcPr>
            <w:tcW w:w="2313" w:type="dxa"/>
          </w:tcPr>
          <w:p w14:paraId="5DC7A10A">
            <w:pPr>
              <w:rPr>
                <w:rFonts w:hint="eastAsia" w:ascii="宋体" w:hAnsi="宋体" w:cs="宋体"/>
                <w:szCs w:val="21"/>
              </w:rPr>
            </w:pPr>
          </w:p>
        </w:tc>
      </w:tr>
      <w:tr w14:paraId="712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E02E7C2">
            <w:pPr>
              <w:rPr>
                <w:rFonts w:hint="eastAsia" w:ascii="宋体" w:hAnsi="宋体" w:cs="宋体"/>
                <w:szCs w:val="21"/>
              </w:rPr>
            </w:pPr>
          </w:p>
        </w:tc>
        <w:tc>
          <w:tcPr>
            <w:tcW w:w="1235" w:type="dxa"/>
          </w:tcPr>
          <w:p w14:paraId="2F568EBC">
            <w:pPr>
              <w:rPr>
                <w:rFonts w:hint="eastAsia" w:ascii="宋体" w:hAnsi="宋体" w:cs="宋体"/>
                <w:szCs w:val="21"/>
              </w:rPr>
            </w:pPr>
          </w:p>
        </w:tc>
        <w:tc>
          <w:tcPr>
            <w:tcW w:w="2086" w:type="dxa"/>
          </w:tcPr>
          <w:p w14:paraId="7A2238B2">
            <w:pPr>
              <w:rPr>
                <w:rFonts w:hint="eastAsia" w:ascii="宋体" w:hAnsi="宋体" w:cs="宋体"/>
                <w:szCs w:val="21"/>
              </w:rPr>
            </w:pPr>
          </w:p>
        </w:tc>
        <w:tc>
          <w:tcPr>
            <w:tcW w:w="1959" w:type="dxa"/>
          </w:tcPr>
          <w:p w14:paraId="45C1D59F">
            <w:pPr>
              <w:rPr>
                <w:rFonts w:hint="eastAsia" w:ascii="宋体" w:hAnsi="宋体" w:cs="宋体"/>
                <w:szCs w:val="21"/>
              </w:rPr>
            </w:pPr>
          </w:p>
        </w:tc>
        <w:tc>
          <w:tcPr>
            <w:tcW w:w="1484" w:type="dxa"/>
          </w:tcPr>
          <w:p w14:paraId="7439BDF1">
            <w:pPr>
              <w:rPr>
                <w:rFonts w:hint="eastAsia" w:ascii="宋体" w:hAnsi="宋体" w:cs="宋体"/>
                <w:szCs w:val="21"/>
              </w:rPr>
            </w:pPr>
          </w:p>
        </w:tc>
        <w:tc>
          <w:tcPr>
            <w:tcW w:w="1336" w:type="dxa"/>
          </w:tcPr>
          <w:p w14:paraId="228A90F8">
            <w:pPr>
              <w:rPr>
                <w:rFonts w:hint="eastAsia" w:ascii="宋体" w:hAnsi="宋体" w:cs="宋体"/>
                <w:szCs w:val="21"/>
              </w:rPr>
            </w:pPr>
          </w:p>
        </w:tc>
        <w:tc>
          <w:tcPr>
            <w:tcW w:w="1454" w:type="dxa"/>
          </w:tcPr>
          <w:p w14:paraId="27A5C3AE">
            <w:pPr>
              <w:rPr>
                <w:rFonts w:hint="eastAsia" w:ascii="宋体" w:hAnsi="宋体" w:cs="宋体"/>
                <w:szCs w:val="21"/>
              </w:rPr>
            </w:pPr>
          </w:p>
        </w:tc>
        <w:tc>
          <w:tcPr>
            <w:tcW w:w="1274" w:type="dxa"/>
          </w:tcPr>
          <w:p w14:paraId="43E985D6">
            <w:pPr>
              <w:rPr>
                <w:rFonts w:hint="eastAsia" w:ascii="宋体" w:hAnsi="宋体" w:cs="宋体"/>
                <w:szCs w:val="21"/>
              </w:rPr>
            </w:pPr>
          </w:p>
        </w:tc>
        <w:tc>
          <w:tcPr>
            <w:tcW w:w="2313" w:type="dxa"/>
          </w:tcPr>
          <w:p w14:paraId="1DB60C43">
            <w:pPr>
              <w:rPr>
                <w:rFonts w:hint="eastAsia" w:ascii="宋体" w:hAnsi="宋体" w:cs="宋体"/>
                <w:szCs w:val="21"/>
              </w:rPr>
            </w:pPr>
          </w:p>
        </w:tc>
      </w:tr>
      <w:tr w14:paraId="1CD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35E61F23">
            <w:pPr>
              <w:rPr>
                <w:rFonts w:hint="eastAsia" w:ascii="宋体" w:hAnsi="宋体" w:cs="宋体"/>
                <w:szCs w:val="21"/>
              </w:rPr>
            </w:pPr>
          </w:p>
        </w:tc>
        <w:tc>
          <w:tcPr>
            <w:tcW w:w="1235" w:type="dxa"/>
          </w:tcPr>
          <w:p w14:paraId="4F623775">
            <w:pPr>
              <w:rPr>
                <w:rFonts w:hint="eastAsia" w:ascii="宋体" w:hAnsi="宋体" w:cs="宋体"/>
                <w:szCs w:val="21"/>
              </w:rPr>
            </w:pPr>
          </w:p>
        </w:tc>
        <w:tc>
          <w:tcPr>
            <w:tcW w:w="2086" w:type="dxa"/>
          </w:tcPr>
          <w:p w14:paraId="46D69921">
            <w:pPr>
              <w:rPr>
                <w:rFonts w:hint="eastAsia" w:ascii="宋体" w:hAnsi="宋体" w:cs="宋体"/>
                <w:szCs w:val="21"/>
              </w:rPr>
            </w:pPr>
          </w:p>
        </w:tc>
        <w:tc>
          <w:tcPr>
            <w:tcW w:w="1959" w:type="dxa"/>
          </w:tcPr>
          <w:p w14:paraId="6FED3727">
            <w:pPr>
              <w:rPr>
                <w:rFonts w:hint="eastAsia" w:ascii="宋体" w:hAnsi="宋体" w:cs="宋体"/>
                <w:szCs w:val="21"/>
              </w:rPr>
            </w:pPr>
          </w:p>
        </w:tc>
        <w:tc>
          <w:tcPr>
            <w:tcW w:w="1484" w:type="dxa"/>
          </w:tcPr>
          <w:p w14:paraId="30E918F5">
            <w:pPr>
              <w:rPr>
                <w:rFonts w:hint="eastAsia" w:ascii="宋体" w:hAnsi="宋体" w:cs="宋体"/>
                <w:szCs w:val="21"/>
              </w:rPr>
            </w:pPr>
          </w:p>
        </w:tc>
        <w:tc>
          <w:tcPr>
            <w:tcW w:w="1336" w:type="dxa"/>
          </w:tcPr>
          <w:p w14:paraId="321A3D33">
            <w:pPr>
              <w:rPr>
                <w:rFonts w:hint="eastAsia" w:ascii="宋体" w:hAnsi="宋体" w:cs="宋体"/>
                <w:szCs w:val="21"/>
              </w:rPr>
            </w:pPr>
          </w:p>
        </w:tc>
        <w:tc>
          <w:tcPr>
            <w:tcW w:w="1454" w:type="dxa"/>
          </w:tcPr>
          <w:p w14:paraId="2B730A1E">
            <w:pPr>
              <w:rPr>
                <w:rFonts w:hint="eastAsia" w:ascii="宋体" w:hAnsi="宋体" w:cs="宋体"/>
                <w:szCs w:val="21"/>
              </w:rPr>
            </w:pPr>
          </w:p>
        </w:tc>
        <w:tc>
          <w:tcPr>
            <w:tcW w:w="1274" w:type="dxa"/>
          </w:tcPr>
          <w:p w14:paraId="427D7336">
            <w:pPr>
              <w:rPr>
                <w:rFonts w:hint="eastAsia" w:ascii="宋体" w:hAnsi="宋体" w:cs="宋体"/>
                <w:szCs w:val="21"/>
              </w:rPr>
            </w:pPr>
          </w:p>
        </w:tc>
        <w:tc>
          <w:tcPr>
            <w:tcW w:w="2313" w:type="dxa"/>
          </w:tcPr>
          <w:p w14:paraId="34203B3D">
            <w:pPr>
              <w:rPr>
                <w:rFonts w:hint="eastAsia" w:ascii="宋体" w:hAnsi="宋体" w:cs="宋体"/>
                <w:szCs w:val="21"/>
              </w:rPr>
            </w:pPr>
          </w:p>
        </w:tc>
      </w:tr>
      <w:tr w14:paraId="77A0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59B5621">
            <w:pPr>
              <w:rPr>
                <w:rFonts w:hint="eastAsia" w:ascii="宋体" w:hAnsi="宋体" w:cs="宋体"/>
                <w:szCs w:val="21"/>
              </w:rPr>
            </w:pPr>
          </w:p>
        </w:tc>
        <w:tc>
          <w:tcPr>
            <w:tcW w:w="1235" w:type="dxa"/>
          </w:tcPr>
          <w:p w14:paraId="2D34F1E5">
            <w:pPr>
              <w:rPr>
                <w:rFonts w:hint="eastAsia" w:ascii="宋体" w:hAnsi="宋体" w:cs="宋体"/>
                <w:szCs w:val="21"/>
              </w:rPr>
            </w:pPr>
          </w:p>
        </w:tc>
        <w:tc>
          <w:tcPr>
            <w:tcW w:w="2086" w:type="dxa"/>
          </w:tcPr>
          <w:p w14:paraId="2FB0FC3E">
            <w:pPr>
              <w:rPr>
                <w:rFonts w:hint="eastAsia" w:ascii="宋体" w:hAnsi="宋体" w:cs="宋体"/>
                <w:szCs w:val="21"/>
              </w:rPr>
            </w:pPr>
          </w:p>
        </w:tc>
        <w:tc>
          <w:tcPr>
            <w:tcW w:w="1959" w:type="dxa"/>
          </w:tcPr>
          <w:p w14:paraId="665B18DE">
            <w:pPr>
              <w:rPr>
                <w:rFonts w:hint="eastAsia" w:ascii="宋体" w:hAnsi="宋体" w:cs="宋体"/>
                <w:szCs w:val="21"/>
              </w:rPr>
            </w:pPr>
          </w:p>
        </w:tc>
        <w:tc>
          <w:tcPr>
            <w:tcW w:w="1484" w:type="dxa"/>
          </w:tcPr>
          <w:p w14:paraId="113DDA70">
            <w:pPr>
              <w:rPr>
                <w:rFonts w:hint="eastAsia" w:ascii="宋体" w:hAnsi="宋体" w:cs="宋体"/>
                <w:szCs w:val="21"/>
              </w:rPr>
            </w:pPr>
          </w:p>
        </w:tc>
        <w:tc>
          <w:tcPr>
            <w:tcW w:w="1336" w:type="dxa"/>
          </w:tcPr>
          <w:p w14:paraId="18981450">
            <w:pPr>
              <w:rPr>
                <w:rFonts w:hint="eastAsia" w:ascii="宋体" w:hAnsi="宋体" w:cs="宋体"/>
                <w:szCs w:val="21"/>
              </w:rPr>
            </w:pPr>
          </w:p>
        </w:tc>
        <w:tc>
          <w:tcPr>
            <w:tcW w:w="1454" w:type="dxa"/>
          </w:tcPr>
          <w:p w14:paraId="4991A34E">
            <w:pPr>
              <w:rPr>
                <w:rFonts w:hint="eastAsia" w:ascii="宋体" w:hAnsi="宋体" w:cs="宋体"/>
                <w:szCs w:val="21"/>
              </w:rPr>
            </w:pPr>
          </w:p>
        </w:tc>
        <w:tc>
          <w:tcPr>
            <w:tcW w:w="1274" w:type="dxa"/>
          </w:tcPr>
          <w:p w14:paraId="3B061ACA">
            <w:pPr>
              <w:rPr>
                <w:rFonts w:hint="eastAsia" w:ascii="宋体" w:hAnsi="宋体" w:cs="宋体"/>
                <w:szCs w:val="21"/>
              </w:rPr>
            </w:pPr>
          </w:p>
        </w:tc>
        <w:tc>
          <w:tcPr>
            <w:tcW w:w="2313" w:type="dxa"/>
          </w:tcPr>
          <w:p w14:paraId="15402F17">
            <w:pPr>
              <w:rPr>
                <w:rFonts w:hint="eastAsia" w:ascii="宋体" w:hAnsi="宋体" w:cs="宋体"/>
                <w:szCs w:val="21"/>
              </w:rPr>
            </w:pPr>
          </w:p>
        </w:tc>
      </w:tr>
      <w:tr w14:paraId="6C5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EFB1CFE">
            <w:pPr>
              <w:rPr>
                <w:rFonts w:hint="eastAsia" w:ascii="宋体" w:hAnsi="宋体" w:cs="宋体"/>
                <w:szCs w:val="21"/>
              </w:rPr>
            </w:pPr>
          </w:p>
        </w:tc>
        <w:tc>
          <w:tcPr>
            <w:tcW w:w="1235" w:type="dxa"/>
          </w:tcPr>
          <w:p w14:paraId="3A79F00E">
            <w:pPr>
              <w:rPr>
                <w:rFonts w:hint="eastAsia" w:ascii="宋体" w:hAnsi="宋体" w:cs="宋体"/>
                <w:szCs w:val="21"/>
              </w:rPr>
            </w:pPr>
          </w:p>
        </w:tc>
        <w:tc>
          <w:tcPr>
            <w:tcW w:w="2086" w:type="dxa"/>
          </w:tcPr>
          <w:p w14:paraId="1462025A">
            <w:pPr>
              <w:rPr>
                <w:rFonts w:hint="eastAsia" w:ascii="宋体" w:hAnsi="宋体" w:cs="宋体"/>
                <w:szCs w:val="21"/>
              </w:rPr>
            </w:pPr>
          </w:p>
        </w:tc>
        <w:tc>
          <w:tcPr>
            <w:tcW w:w="1959" w:type="dxa"/>
          </w:tcPr>
          <w:p w14:paraId="582C10AA">
            <w:pPr>
              <w:rPr>
                <w:rFonts w:hint="eastAsia" w:ascii="宋体" w:hAnsi="宋体" w:cs="宋体"/>
                <w:szCs w:val="21"/>
              </w:rPr>
            </w:pPr>
          </w:p>
        </w:tc>
        <w:tc>
          <w:tcPr>
            <w:tcW w:w="1484" w:type="dxa"/>
          </w:tcPr>
          <w:p w14:paraId="1F1825E6">
            <w:pPr>
              <w:rPr>
                <w:rFonts w:hint="eastAsia" w:ascii="宋体" w:hAnsi="宋体" w:cs="宋体"/>
                <w:szCs w:val="21"/>
              </w:rPr>
            </w:pPr>
          </w:p>
        </w:tc>
        <w:tc>
          <w:tcPr>
            <w:tcW w:w="1336" w:type="dxa"/>
          </w:tcPr>
          <w:p w14:paraId="1741A2E5">
            <w:pPr>
              <w:rPr>
                <w:rFonts w:hint="eastAsia" w:ascii="宋体" w:hAnsi="宋体" w:cs="宋体"/>
                <w:szCs w:val="21"/>
              </w:rPr>
            </w:pPr>
          </w:p>
        </w:tc>
        <w:tc>
          <w:tcPr>
            <w:tcW w:w="1454" w:type="dxa"/>
          </w:tcPr>
          <w:p w14:paraId="7B6C8136">
            <w:pPr>
              <w:rPr>
                <w:rFonts w:hint="eastAsia" w:ascii="宋体" w:hAnsi="宋体" w:cs="宋体"/>
                <w:szCs w:val="21"/>
              </w:rPr>
            </w:pPr>
          </w:p>
        </w:tc>
        <w:tc>
          <w:tcPr>
            <w:tcW w:w="1274" w:type="dxa"/>
          </w:tcPr>
          <w:p w14:paraId="29584020">
            <w:pPr>
              <w:rPr>
                <w:rFonts w:hint="eastAsia" w:ascii="宋体" w:hAnsi="宋体" w:cs="宋体"/>
                <w:szCs w:val="21"/>
              </w:rPr>
            </w:pPr>
          </w:p>
        </w:tc>
        <w:tc>
          <w:tcPr>
            <w:tcW w:w="2313" w:type="dxa"/>
          </w:tcPr>
          <w:p w14:paraId="564D99C7">
            <w:pPr>
              <w:rPr>
                <w:rFonts w:hint="eastAsia" w:ascii="宋体" w:hAnsi="宋体" w:cs="宋体"/>
                <w:szCs w:val="21"/>
              </w:rPr>
            </w:pPr>
          </w:p>
        </w:tc>
      </w:tr>
      <w:tr w14:paraId="24C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4969512">
            <w:pPr>
              <w:rPr>
                <w:rFonts w:hint="eastAsia" w:ascii="宋体" w:hAnsi="宋体" w:cs="宋体"/>
                <w:szCs w:val="21"/>
              </w:rPr>
            </w:pPr>
          </w:p>
        </w:tc>
        <w:tc>
          <w:tcPr>
            <w:tcW w:w="1235" w:type="dxa"/>
          </w:tcPr>
          <w:p w14:paraId="79926BE8">
            <w:pPr>
              <w:rPr>
                <w:rFonts w:hint="eastAsia" w:ascii="宋体" w:hAnsi="宋体" w:cs="宋体"/>
                <w:szCs w:val="21"/>
              </w:rPr>
            </w:pPr>
          </w:p>
        </w:tc>
        <w:tc>
          <w:tcPr>
            <w:tcW w:w="2086" w:type="dxa"/>
          </w:tcPr>
          <w:p w14:paraId="179F84EB">
            <w:pPr>
              <w:rPr>
                <w:rFonts w:hint="eastAsia" w:ascii="宋体" w:hAnsi="宋体" w:cs="宋体"/>
                <w:szCs w:val="21"/>
              </w:rPr>
            </w:pPr>
          </w:p>
        </w:tc>
        <w:tc>
          <w:tcPr>
            <w:tcW w:w="1959" w:type="dxa"/>
          </w:tcPr>
          <w:p w14:paraId="60C18BFA">
            <w:pPr>
              <w:rPr>
                <w:rFonts w:hint="eastAsia" w:ascii="宋体" w:hAnsi="宋体" w:cs="宋体"/>
                <w:szCs w:val="21"/>
              </w:rPr>
            </w:pPr>
          </w:p>
        </w:tc>
        <w:tc>
          <w:tcPr>
            <w:tcW w:w="1484" w:type="dxa"/>
          </w:tcPr>
          <w:p w14:paraId="55428313">
            <w:pPr>
              <w:rPr>
                <w:rFonts w:hint="eastAsia" w:ascii="宋体" w:hAnsi="宋体" w:cs="宋体"/>
                <w:szCs w:val="21"/>
              </w:rPr>
            </w:pPr>
          </w:p>
        </w:tc>
        <w:tc>
          <w:tcPr>
            <w:tcW w:w="1336" w:type="dxa"/>
          </w:tcPr>
          <w:p w14:paraId="6F689B9B">
            <w:pPr>
              <w:rPr>
                <w:rFonts w:hint="eastAsia" w:ascii="宋体" w:hAnsi="宋体" w:cs="宋体"/>
                <w:szCs w:val="21"/>
              </w:rPr>
            </w:pPr>
          </w:p>
        </w:tc>
        <w:tc>
          <w:tcPr>
            <w:tcW w:w="1454" w:type="dxa"/>
          </w:tcPr>
          <w:p w14:paraId="609C17F8">
            <w:pPr>
              <w:rPr>
                <w:rFonts w:hint="eastAsia" w:ascii="宋体" w:hAnsi="宋体" w:cs="宋体"/>
                <w:szCs w:val="21"/>
              </w:rPr>
            </w:pPr>
          </w:p>
        </w:tc>
        <w:tc>
          <w:tcPr>
            <w:tcW w:w="1274" w:type="dxa"/>
          </w:tcPr>
          <w:p w14:paraId="6C48D678">
            <w:pPr>
              <w:rPr>
                <w:rFonts w:hint="eastAsia" w:ascii="宋体" w:hAnsi="宋体" w:cs="宋体"/>
                <w:szCs w:val="21"/>
              </w:rPr>
            </w:pPr>
          </w:p>
        </w:tc>
        <w:tc>
          <w:tcPr>
            <w:tcW w:w="2313" w:type="dxa"/>
          </w:tcPr>
          <w:p w14:paraId="71A5BAEE">
            <w:pPr>
              <w:rPr>
                <w:rFonts w:hint="eastAsia" w:ascii="宋体" w:hAnsi="宋体" w:cs="宋体"/>
                <w:szCs w:val="21"/>
              </w:rPr>
            </w:pPr>
          </w:p>
        </w:tc>
      </w:tr>
      <w:tr w14:paraId="74F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5620283">
            <w:pPr>
              <w:rPr>
                <w:rFonts w:hint="eastAsia" w:ascii="宋体" w:hAnsi="宋体" w:cs="宋体"/>
                <w:szCs w:val="21"/>
              </w:rPr>
            </w:pPr>
          </w:p>
        </w:tc>
        <w:tc>
          <w:tcPr>
            <w:tcW w:w="1235" w:type="dxa"/>
          </w:tcPr>
          <w:p w14:paraId="1396F506">
            <w:pPr>
              <w:rPr>
                <w:rFonts w:hint="eastAsia" w:ascii="宋体" w:hAnsi="宋体" w:cs="宋体"/>
                <w:szCs w:val="21"/>
              </w:rPr>
            </w:pPr>
          </w:p>
        </w:tc>
        <w:tc>
          <w:tcPr>
            <w:tcW w:w="2086" w:type="dxa"/>
          </w:tcPr>
          <w:p w14:paraId="73A2CDCE">
            <w:pPr>
              <w:rPr>
                <w:rFonts w:hint="eastAsia" w:ascii="宋体" w:hAnsi="宋体" w:cs="宋体"/>
                <w:szCs w:val="21"/>
              </w:rPr>
            </w:pPr>
          </w:p>
        </w:tc>
        <w:tc>
          <w:tcPr>
            <w:tcW w:w="1959" w:type="dxa"/>
          </w:tcPr>
          <w:p w14:paraId="66EE277B">
            <w:pPr>
              <w:rPr>
                <w:rFonts w:hint="eastAsia" w:ascii="宋体" w:hAnsi="宋体" w:cs="宋体"/>
                <w:szCs w:val="21"/>
              </w:rPr>
            </w:pPr>
          </w:p>
        </w:tc>
        <w:tc>
          <w:tcPr>
            <w:tcW w:w="1484" w:type="dxa"/>
          </w:tcPr>
          <w:p w14:paraId="5957F5C4">
            <w:pPr>
              <w:rPr>
                <w:rFonts w:hint="eastAsia" w:ascii="宋体" w:hAnsi="宋体" w:cs="宋体"/>
                <w:szCs w:val="21"/>
              </w:rPr>
            </w:pPr>
          </w:p>
        </w:tc>
        <w:tc>
          <w:tcPr>
            <w:tcW w:w="1336" w:type="dxa"/>
          </w:tcPr>
          <w:p w14:paraId="628F8947">
            <w:pPr>
              <w:rPr>
                <w:rFonts w:hint="eastAsia" w:ascii="宋体" w:hAnsi="宋体" w:cs="宋体"/>
                <w:szCs w:val="21"/>
              </w:rPr>
            </w:pPr>
          </w:p>
        </w:tc>
        <w:tc>
          <w:tcPr>
            <w:tcW w:w="1454" w:type="dxa"/>
          </w:tcPr>
          <w:p w14:paraId="211409C4">
            <w:pPr>
              <w:rPr>
                <w:rFonts w:hint="eastAsia" w:ascii="宋体" w:hAnsi="宋体" w:cs="宋体"/>
                <w:szCs w:val="21"/>
              </w:rPr>
            </w:pPr>
          </w:p>
        </w:tc>
        <w:tc>
          <w:tcPr>
            <w:tcW w:w="1274" w:type="dxa"/>
          </w:tcPr>
          <w:p w14:paraId="55ABC116">
            <w:pPr>
              <w:rPr>
                <w:rFonts w:hint="eastAsia" w:ascii="宋体" w:hAnsi="宋体" w:cs="宋体"/>
                <w:szCs w:val="21"/>
              </w:rPr>
            </w:pPr>
          </w:p>
        </w:tc>
        <w:tc>
          <w:tcPr>
            <w:tcW w:w="2313" w:type="dxa"/>
          </w:tcPr>
          <w:p w14:paraId="571FA4ED">
            <w:pPr>
              <w:rPr>
                <w:rFonts w:hint="eastAsia" w:ascii="宋体" w:hAnsi="宋体" w:cs="宋体"/>
                <w:szCs w:val="21"/>
              </w:rPr>
            </w:pPr>
          </w:p>
        </w:tc>
      </w:tr>
      <w:tr w14:paraId="126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94" w:type="dxa"/>
          </w:tcPr>
          <w:p w14:paraId="6C4F8855">
            <w:pPr>
              <w:rPr>
                <w:rFonts w:hint="eastAsia" w:ascii="宋体" w:hAnsi="宋体" w:cs="宋体"/>
                <w:szCs w:val="21"/>
              </w:rPr>
            </w:pPr>
          </w:p>
        </w:tc>
        <w:tc>
          <w:tcPr>
            <w:tcW w:w="1235" w:type="dxa"/>
          </w:tcPr>
          <w:p w14:paraId="1A3F40DA">
            <w:pPr>
              <w:rPr>
                <w:rFonts w:hint="eastAsia" w:ascii="宋体" w:hAnsi="宋体" w:cs="宋体"/>
                <w:szCs w:val="21"/>
              </w:rPr>
            </w:pPr>
          </w:p>
        </w:tc>
        <w:tc>
          <w:tcPr>
            <w:tcW w:w="2086" w:type="dxa"/>
          </w:tcPr>
          <w:p w14:paraId="77FACAA7">
            <w:pPr>
              <w:rPr>
                <w:rFonts w:hint="eastAsia" w:ascii="宋体" w:hAnsi="宋体" w:cs="宋体"/>
                <w:szCs w:val="21"/>
              </w:rPr>
            </w:pPr>
          </w:p>
        </w:tc>
        <w:tc>
          <w:tcPr>
            <w:tcW w:w="1959" w:type="dxa"/>
          </w:tcPr>
          <w:p w14:paraId="6E1177B7">
            <w:pPr>
              <w:rPr>
                <w:rFonts w:hint="eastAsia" w:ascii="宋体" w:hAnsi="宋体" w:cs="宋体"/>
                <w:szCs w:val="21"/>
              </w:rPr>
            </w:pPr>
          </w:p>
        </w:tc>
        <w:tc>
          <w:tcPr>
            <w:tcW w:w="1484" w:type="dxa"/>
          </w:tcPr>
          <w:p w14:paraId="0DEBB2EC">
            <w:pPr>
              <w:rPr>
                <w:rFonts w:hint="eastAsia" w:ascii="宋体" w:hAnsi="宋体" w:cs="宋体"/>
                <w:szCs w:val="21"/>
              </w:rPr>
            </w:pPr>
          </w:p>
        </w:tc>
        <w:tc>
          <w:tcPr>
            <w:tcW w:w="1336" w:type="dxa"/>
          </w:tcPr>
          <w:p w14:paraId="2C0122A2">
            <w:pPr>
              <w:rPr>
                <w:rFonts w:hint="eastAsia" w:ascii="宋体" w:hAnsi="宋体" w:cs="宋体"/>
                <w:szCs w:val="21"/>
              </w:rPr>
            </w:pPr>
          </w:p>
        </w:tc>
        <w:tc>
          <w:tcPr>
            <w:tcW w:w="1454" w:type="dxa"/>
          </w:tcPr>
          <w:p w14:paraId="328ABFAC">
            <w:pPr>
              <w:rPr>
                <w:rFonts w:hint="eastAsia" w:ascii="宋体" w:hAnsi="宋体" w:cs="宋体"/>
                <w:szCs w:val="21"/>
              </w:rPr>
            </w:pPr>
          </w:p>
        </w:tc>
        <w:tc>
          <w:tcPr>
            <w:tcW w:w="1274" w:type="dxa"/>
          </w:tcPr>
          <w:p w14:paraId="447E07A8">
            <w:pPr>
              <w:rPr>
                <w:rFonts w:hint="eastAsia" w:ascii="宋体" w:hAnsi="宋体" w:cs="宋体"/>
                <w:szCs w:val="21"/>
              </w:rPr>
            </w:pPr>
          </w:p>
        </w:tc>
        <w:tc>
          <w:tcPr>
            <w:tcW w:w="2313" w:type="dxa"/>
          </w:tcPr>
          <w:p w14:paraId="2750B8FC">
            <w:pPr>
              <w:rPr>
                <w:rFonts w:hint="eastAsia" w:ascii="宋体" w:hAnsi="宋体" w:cs="宋体"/>
                <w:szCs w:val="21"/>
              </w:rPr>
            </w:pPr>
          </w:p>
        </w:tc>
      </w:tr>
    </w:tbl>
    <w:p w14:paraId="1349A748">
      <w:pPr>
        <w:rPr>
          <w:rFonts w:hint="eastAsia" w:ascii="宋体" w:hAnsi="宋体" w:cs="宋体"/>
          <w:szCs w:val="21"/>
        </w:rPr>
      </w:pPr>
      <w:r>
        <w:rPr>
          <w:rFonts w:hint="eastAsia" w:ascii="宋体" w:hAnsi="宋体" w:cs="宋体"/>
          <w:szCs w:val="21"/>
        </w:rPr>
        <w:t xml:space="preserve">装箱人：                                                          制表人：      </w:t>
      </w:r>
    </w:p>
    <w:p w14:paraId="69463FB2"/>
    <w:p w14:paraId="3675CF91">
      <w:pPr>
        <w:spacing w:line="420" w:lineRule="exact"/>
        <w:jc w:val="center"/>
        <w:rPr>
          <w:rFonts w:hint="eastAsia" w:ascii="宋体" w:hAnsi="宋体" w:cs="宋体"/>
          <w:b/>
          <w:bCs/>
          <w:kern w:val="0"/>
          <w:sz w:val="30"/>
          <w:szCs w:val="30"/>
        </w:rPr>
        <w:sectPr>
          <w:headerReference r:id="rId6" w:type="default"/>
          <w:footerReference r:id="rId7" w:type="default"/>
          <w:pgSz w:w="16838" w:h="11906" w:orient="landscape"/>
          <w:pgMar w:top="1440" w:right="1440" w:bottom="1440" w:left="1440" w:header="851" w:footer="992" w:gutter="0"/>
          <w:cols w:space="0" w:num="1"/>
          <w:docGrid w:linePitch="326" w:charSpace="0"/>
        </w:sectPr>
      </w:pPr>
    </w:p>
    <w:p w14:paraId="0F50F989">
      <w:pPr>
        <w:spacing w:line="360" w:lineRule="exact"/>
        <w:rPr>
          <w:rFonts w:hint="eastAsia" w:ascii="宋体" w:hAnsi="宋体" w:cs="宋体"/>
          <w:b/>
          <w:bCs/>
          <w:sz w:val="24"/>
        </w:rPr>
      </w:pPr>
      <w:r>
        <w:rPr>
          <w:rFonts w:hint="eastAsia" w:ascii="宋体" w:hAnsi="宋体" w:cs="宋体"/>
          <w:b/>
          <w:bCs/>
          <w:sz w:val="24"/>
        </w:rPr>
        <w:t>附件1： 供应商考核表</w:t>
      </w:r>
    </w:p>
    <w:p w14:paraId="3081B2F2">
      <w:pPr>
        <w:pStyle w:val="10"/>
        <w:rPr>
          <w:b/>
          <w:bCs/>
          <w:kern w:val="0"/>
          <w:sz w:val="30"/>
          <w:szCs w:val="30"/>
        </w:rPr>
      </w:pPr>
    </w:p>
    <w:p w14:paraId="7ABAADE6">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089BD643">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5D777585">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5"/>
        <w:tblW w:w="8857" w:type="dxa"/>
        <w:tblInd w:w="0" w:type="dxa"/>
        <w:tblLayout w:type="fixed"/>
        <w:tblCellMar>
          <w:top w:w="0" w:type="dxa"/>
          <w:left w:w="108" w:type="dxa"/>
          <w:bottom w:w="0" w:type="dxa"/>
          <w:right w:w="108" w:type="dxa"/>
        </w:tblCellMar>
      </w:tblPr>
      <w:tblGrid>
        <w:gridCol w:w="504"/>
        <w:gridCol w:w="1209"/>
        <w:gridCol w:w="4855"/>
        <w:gridCol w:w="905"/>
        <w:gridCol w:w="1384"/>
      </w:tblGrid>
      <w:tr w14:paraId="4B37C552">
        <w:tblPrEx>
          <w:tblCellMar>
            <w:top w:w="0" w:type="dxa"/>
            <w:left w:w="108" w:type="dxa"/>
            <w:bottom w:w="0" w:type="dxa"/>
            <w:right w:w="108" w:type="dxa"/>
          </w:tblCellMar>
        </w:tblPrEx>
        <w:trPr>
          <w:trHeight w:val="58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E182">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48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考核项目</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318E">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考核内容和分值分配</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7E69">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分值</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1B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扣分原因</w:t>
            </w:r>
          </w:p>
        </w:tc>
      </w:tr>
      <w:tr w14:paraId="45EA5465">
        <w:tblPrEx>
          <w:tblCellMar>
            <w:top w:w="0" w:type="dxa"/>
            <w:left w:w="108" w:type="dxa"/>
            <w:bottom w:w="0" w:type="dxa"/>
            <w:right w:w="108" w:type="dxa"/>
          </w:tblCellMar>
        </w:tblPrEx>
        <w:trPr>
          <w:trHeight w:val="832"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D4D1">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8B13">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产品质量（70分）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0448">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1、所供药剂的技术参数、规格、有效成分等完全符合合同及技术协议要求，每发现一次不符合项扣5分。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C4B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6EFD">
            <w:pPr>
              <w:widowControl/>
              <w:spacing w:line="300" w:lineRule="exact"/>
              <w:rPr>
                <w:rFonts w:hint="eastAsia" w:ascii="宋体" w:hAnsi="宋体" w:cs="宋体"/>
                <w:color w:val="000000"/>
                <w:szCs w:val="21"/>
              </w:rPr>
            </w:pPr>
          </w:p>
        </w:tc>
      </w:tr>
      <w:tr w14:paraId="5496D923">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5BD5">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F15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85A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2、不同批次药剂质量稳定，性能一致。若出现批次间明显差异并影响实验效果，每次扣5分。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448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37E7">
            <w:pPr>
              <w:widowControl/>
              <w:spacing w:line="300" w:lineRule="exact"/>
              <w:rPr>
                <w:rFonts w:hint="eastAsia" w:ascii="宋体" w:hAnsi="宋体" w:cs="宋体"/>
                <w:color w:val="000000"/>
                <w:szCs w:val="21"/>
              </w:rPr>
            </w:pPr>
          </w:p>
        </w:tc>
      </w:tr>
      <w:tr w14:paraId="15300B77">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73FFA">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4487">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7E1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3、产品包装完好、密封、防泄漏，标签标识（品名、规格、批号、有效期、安全信息等）清晰、准确、完整。每发现一处问题扣2分。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2753">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AE03">
            <w:pPr>
              <w:widowControl/>
              <w:spacing w:line="300" w:lineRule="exact"/>
              <w:rPr>
                <w:rFonts w:hint="eastAsia" w:ascii="宋体" w:hAnsi="宋体" w:cs="宋体"/>
                <w:color w:val="000000"/>
                <w:szCs w:val="21"/>
              </w:rPr>
            </w:pPr>
          </w:p>
        </w:tc>
      </w:tr>
      <w:tr w14:paraId="53307E5C">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4EFD">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4F35">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95A19">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4、随货提供完整的质量证明文件（如出厂检验报告、合格证、MSDS等）。未提供或文件不全、错误，每次扣3分。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29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464C">
            <w:pPr>
              <w:widowControl/>
              <w:spacing w:line="300" w:lineRule="exact"/>
              <w:rPr>
                <w:rFonts w:hint="eastAsia" w:ascii="宋体" w:hAnsi="宋体" w:cs="宋体"/>
                <w:color w:val="000000"/>
                <w:szCs w:val="21"/>
              </w:rPr>
            </w:pPr>
          </w:p>
        </w:tc>
      </w:tr>
      <w:tr w14:paraId="15F81ACD">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B5E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3DA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供货及时性（15分）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19E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1、订单响应时效：收到采购订单后，应在24小时内完成确认，并明确回复交货计划。每超时一天未确认或无反馈，扣1分，最高扣3分。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802B">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2D71">
            <w:pPr>
              <w:widowControl/>
              <w:spacing w:line="300" w:lineRule="exact"/>
              <w:rPr>
                <w:rFonts w:hint="eastAsia" w:ascii="宋体" w:hAnsi="宋体" w:cs="宋体"/>
                <w:color w:val="000000"/>
                <w:szCs w:val="21"/>
              </w:rPr>
            </w:pPr>
          </w:p>
        </w:tc>
      </w:tr>
      <w:tr w14:paraId="397DBE3B">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6BC6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F9B4">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8A9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2、交货计划合理性：供应商制定的供货计划是否合理可行，能否匹配项目实验节奏。若因计划不合理导致断货或积压，每次扣2分。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0E67">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0AD6">
            <w:pPr>
              <w:widowControl/>
              <w:spacing w:line="300" w:lineRule="exact"/>
              <w:rPr>
                <w:rFonts w:hint="eastAsia" w:ascii="宋体" w:hAnsi="宋体" w:cs="宋体"/>
                <w:color w:val="000000"/>
                <w:szCs w:val="21"/>
              </w:rPr>
            </w:pPr>
          </w:p>
        </w:tc>
      </w:tr>
      <w:tr w14:paraId="080ACDDF">
        <w:tblPrEx>
          <w:tblCellMar>
            <w:top w:w="0" w:type="dxa"/>
            <w:left w:w="108" w:type="dxa"/>
            <w:bottom w:w="0" w:type="dxa"/>
            <w:right w:w="108" w:type="dxa"/>
          </w:tblCellMar>
        </w:tblPrEx>
        <w:trPr>
          <w:trHeight w:val="13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BDC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D8D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2C2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3、准时交货率：严格按照约定交货期送达指定地点。每延迟1天扣2分；延迟超过5天，该项不得分（即直接扣完10分）。因不可抗力或甲方原因导致的延迟除外，需附说明材料。</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B3A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0C97">
            <w:pPr>
              <w:widowControl/>
              <w:spacing w:line="300" w:lineRule="exact"/>
              <w:rPr>
                <w:rFonts w:hint="eastAsia" w:ascii="宋体" w:hAnsi="宋体" w:cs="宋体"/>
                <w:color w:val="000000"/>
                <w:szCs w:val="21"/>
              </w:rPr>
            </w:pPr>
          </w:p>
        </w:tc>
      </w:tr>
      <w:tr w14:paraId="4806AFF4">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3DE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1E0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服务响应（10分）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35B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1、响应速度：对电话、邮件或系统内提出的技术咨询、交货查询等问题，应在24小时内首次响应。每超时一次扣1分，累计最多扣3分。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CD5A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DEDA">
            <w:pPr>
              <w:widowControl/>
              <w:spacing w:line="300" w:lineRule="exact"/>
              <w:rPr>
                <w:rFonts w:hint="eastAsia" w:ascii="宋体" w:hAnsi="宋体" w:cs="宋体"/>
                <w:color w:val="000000"/>
                <w:szCs w:val="21"/>
              </w:rPr>
            </w:pPr>
          </w:p>
        </w:tc>
      </w:tr>
      <w:tr w14:paraId="44565E3B">
        <w:tblPrEx>
          <w:tblCellMar>
            <w:top w:w="0" w:type="dxa"/>
            <w:left w:w="108" w:type="dxa"/>
            <w:bottom w:w="0" w:type="dxa"/>
            <w:right w:w="108" w:type="dxa"/>
          </w:tblCellMar>
        </w:tblPrEx>
        <w:trPr>
          <w:trHeight w:val="110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E469">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C3E0">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971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2、问题处理效率：对于产品质量异常、使用疑问或现场支持请求，应在48小时内提供解决方案或派员处理。处理不及时或方案无效，每次扣2分，最高扣4分。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541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614F">
            <w:pPr>
              <w:widowControl/>
              <w:spacing w:line="300" w:lineRule="exact"/>
              <w:rPr>
                <w:rFonts w:hint="eastAsia" w:ascii="宋体" w:hAnsi="宋体" w:cs="宋体"/>
                <w:color w:val="000000"/>
                <w:szCs w:val="21"/>
              </w:rPr>
            </w:pPr>
          </w:p>
        </w:tc>
      </w:tr>
      <w:tr w14:paraId="15B42DEE">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82E1">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11BC">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6DFE">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3、售后服务主动性：能够主动跟进产品使用情况，定期回访或提示有效期、储存注意事项等。缺乏主动服务意识，视情况扣1-3分。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BE2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3927">
            <w:pPr>
              <w:widowControl/>
              <w:spacing w:line="300" w:lineRule="exact"/>
              <w:rPr>
                <w:rFonts w:hint="eastAsia" w:ascii="宋体" w:hAnsi="宋体" w:cs="宋体"/>
                <w:color w:val="000000"/>
                <w:szCs w:val="21"/>
              </w:rPr>
            </w:pPr>
          </w:p>
        </w:tc>
      </w:tr>
      <w:tr w14:paraId="50A2CECD">
        <w:tblPrEx>
          <w:tblCellMar>
            <w:top w:w="0" w:type="dxa"/>
            <w:left w:w="108" w:type="dxa"/>
            <w:bottom w:w="0" w:type="dxa"/>
            <w:right w:w="108" w:type="dxa"/>
          </w:tblCellMar>
        </w:tblPrEx>
        <w:trPr>
          <w:trHeight w:val="87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F6D0">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8481">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单据准确性（5分）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1B89">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发货单、送货单、发票等单据信息（品名、规格、数量、金额等）准确无误。每发现一处错误扣1分，严重错误导致结算延误扣5分。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264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5C2B">
            <w:pPr>
              <w:widowControl/>
              <w:spacing w:line="300" w:lineRule="exact"/>
              <w:rPr>
                <w:rFonts w:hint="eastAsia" w:ascii="宋体" w:hAnsi="宋体" w:cs="宋体"/>
                <w:color w:val="000000"/>
                <w:szCs w:val="21"/>
              </w:rPr>
            </w:pPr>
          </w:p>
        </w:tc>
      </w:tr>
      <w:tr w14:paraId="2F368F41">
        <w:tblPrEx>
          <w:tblCellMar>
            <w:top w:w="0" w:type="dxa"/>
            <w:left w:w="108" w:type="dxa"/>
            <w:bottom w:w="0" w:type="dxa"/>
            <w:right w:w="108" w:type="dxa"/>
          </w:tblCellMar>
        </w:tblPrEx>
        <w:trPr>
          <w:trHeight w:val="310" w:hRule="atLeast"/>
        </w:trPr>
        <w:tc>
          <w:tcPr>
            <w:tcW w:w="6568" w:type="dxa"/>
            <w:gridSpan w:val="3"/>
            <w:tcBorders>
              <w:top w:val="single" w:color="000000" w:sz="4" w:space="0"/>
              <w:left w:val="single" w:color="000000" w:sz="4" w:space="0"/>
              <w:bottom w:val="single" w:color="000000" w:sz="4" w:space="0"/>
              <w:right w:val="single" w:color="000000" w:sz="4" w:space="0"/>
            </w:tcBorders>
            <w:noWrap/>
            <w:vAlign w:val="center"/>
          </w:tcPr>
          <w:p w14:paraId="01FC4B58">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014101A">
            <w:pPr>
              <w:widowControl/>
              <w:spacing w:line="300" w:lineRule="exact"/>
              <w:jc w:val="right"/>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AE5494A">
            <w:pPr>
              <w:widowControl/>
              <w:spacing w:line="300" w:lineRule="exact"/>
              <w:rPr>
                <w:rFonts w:hint="eastAsia" w:ascii="宋体" w:hAnsi="宋体" w:cs="宋体"/>
                <w:color w:val="000000"/>
                <w:szCs w:val="21"/>
              </w:rPr>
            </w:pPr>
          </w:p>
        </w:tc>
      </w:tr>
    </w:tbl>
    <w:p w14:paraId="63715E45">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0F3A6BBD">
      <w:pPr>
        <w:pStyle w:val="63"/>
        <w:spacing w:line="360" w:lineRule="exact"/>
        <w:rPr>
          <w:rFonts w:ascii="Times New Roman" w:hAnsi="Times New Roman"/>
          <w:b/>
          <w:color w:val="000000"/>
          <w:sz w:val="32"/>
        </w:rPr>
      </w:pPr>
      <w:bookmarkStart w:id="37" w:name="_Toc322436057"/>
      <w:bookmarkStart w:id="38" w:name="_Toc331061670"/>
      <w:bookmarkStart w:id="39" w:name="_Toc322436237"/>
      <w:bookmarkStart w:id="40" w:name="_Toc331056449"/>
      <w:bookmarkStart w:id="41" w:name="_Toc330998561"/>
      <w:bookmarkStart w:id="42" w:name="_Toc322435832"/>
      <w:bookmarkStart w:id="43" w:name="_Toc322436002"/>
      <w:r>
        <w:rPr>
          <w:rFonts w:ascii="Times New Roman" w:hAnsi="Times New Roman"/>
          <w:b/>
          <w:color w:val="000000"/>
          <w:sz w:val="28"/>
          <w:szCs w:val="28"/>
        </w:rPr>
        <w:t>附件1、投标函</w:t>
      </w:r>
      <w:r>
        <w:rPr>
          <w:rFonts w:ascii="Times New Roman" w:hAnsi="Times New Roman"/>
          <w:b/>
          <w:color w:val="000000"/>
          <w:sz w:val="32"/>
        </w:rPr>
        <w:t xml:space="preserve"> </w:t>
      </w:r>
    </w:p>
    <w:p w14:paraId="4F43F000">
      <w:pPr>
        <w:pStyle w:val="20"/>
      </w:pPr>
    </w:p>
    <w:p w14:paraId="7C5B0EA2">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4C4D4680">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4B967AD6">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6F33184">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1ABF83A0">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0294F77">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0BDA66D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4A915E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75BB50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2DF942E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4E8975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0A5AB1AF">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45F45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660901F6">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经我单位研究招标文件后，愿按招标文件要求承包本次招标范围内的全部工程。</w:t>
      </w:r>
    </w:p>
    <w:p w14:paraId="029D14CF">
      <w:pPr>
        <w:pStyle w:val="63"/>
        <w:spacing w:line="400" w:lineRule="exact"/>
        <w:rPr>
          <w:rFonts w:ascii="Times New Roman" w:hAnsi="Times New Roman"/>
          <w:sz w:val="21"/>
          <w:szCs w:val="21"/>
        </w:rPr>
      </w:pPr>
    </w:p>
    <w:p w14:paraId="5F3405E4">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9D2DA9D">
      <w:pPr>
        <w:pStyle w:val="20"/>
        <w:ind w:left="0" w:firstLine="405"/>
      </w:pPr>
    </w:p>
    <w:p w14:paraId="5919A142">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474C5437">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5647A9C1">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64840E9">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6CEEDE6B">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22D79C6B">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44987DED">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2923CAC2">
      <w:pPr>
        <w:pStyle w:val="20"/>
      </w:pPr>
    </w:p>
    <w:bookmarkEnd w:id="37"/>
    <w:bookmarkEnd w:id="38"/>
    <w:bookmarkEnd w:id="39"/>
    <w:bookmarkEnd w:id="40"/>
    <w:bookmarkEnd w:id="41"/>
    <w:bookmarkEnd w:id="42"/>
    <w:bookmarkEnd w:id="43"/>
    <w:p w14:paraId="5D265043">
      <w:pPr>
        <w:pStyle w:val="61"/>
        <w:spacing w:line="360" w:lineRule="exact"/>
        <w:outlineLvl w:val="1"/>
        <w:rPr>
          <w:rFonts w:ascii="Times New Roman" w:hAnsi="Times New Roman"/>
          <w:b/>
          <w:sz w:val="28"/>
          <w:szCs w:val="28"/>
        </w:rPr>
      </w:pPr>
      <w:bookmarkStart w:id="44" w:name="_Toc331061671"/>
      <w:bookmarkStart w:id="45" w:name="_Toc322436238"/>
      <w:bookmarkStart w:id="46" w:name="_Toc322436058"/>
      <w:bookmarkStart w:id="47" w:name="_Toc330998562"/>
      <w:bookmarkStart w:id="48" w:name="_Toc322435833"/>
      <w:bookmarkStart w:id="49" w:name="_Toc331056450"/>
      <w:bookmarkStart w:id="50" w:name="_Toc322436003"/>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44"/>
      <w:bookmarkEnd w:id="45"/>
      <w:bookmarkEnd w:id="46"/>
      <w:bookmarkEnd w:id="47"/>
      <w:bookmarkEnd w:id="48"/>
      <w:bookmarkEnd w:id="49"/>
      <w:bookmarkEnd w:id="50"/>
      <w:r>
        <w:rPr>
          <w:rFonts w:ascii="Times New Roman" w:hAnsi="Times New Roman"/>
          <w:b/>
          <w:sz w:val="28"/>
          <w:szCs w:val="28"/>
        </w:rPr>
        <w:t>法定代表人资格证明书及授权委托书</w:t>
      </w:r>
    </w:p>
    <w:p w14:paraId="21E207BD"/>
    <w:p w14:paraId="774F98A0">
      <w:pPr>
        <w:spacing w:line="360" w:lineRule="auto"/>
        <w:jc w:val="center"/>
        <w:rPr>
          <w:rFonts w:hint="eastAsia" w:ascii="宋体" w:hAnsi="宋体" w:cs="宋体"/>
          <w:b/>
          <w:color w:val="000000"/>
          <w:sz w:val="30"/>
          <w:szCs w:val="30"/>
        </w:rPr>
      </w:pPr>
      <w:bookmarkStart w:id="51" w:name="_Toc18209_WPSOffice_Level1"/>
    </w:p>
    <w:p w14:paraId="439F3074">
      <w:pPr>
        <w:spacing w:line="360" w:lineRule="auto"/>
        <w:jc w:val="center"/>
        <w:rPr>
          <w:rFonts w:hint="eastAsia" w:ascii="宋体" w:hAnsi="宋体" w:cs="宋体"/>
          <w:b/>
          <w:color w:val="000000"/>
          <w:sz w:val="32"/>
          <w:szCs w:val="32"/>
        </w:rPr>
      </w:pPr>
      <w:r>
        <w:rPr>
          <w:rFonts w:hint="eastAsia" w:ascii="宋体" w:hAnsi="宋体" w:cs="宋体"/>
          <w:b/>
          <w:color w:val="000000"/>
          <w:sz w:val="30"/>
          <w:szCs w:val="30"/>
        </w:rPr>
        <w:t>法定代表人资格证明书</w:t>
      </w:r>
      <w:bookmarkEnd w:id="51"/>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7CE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D12B592">
            <w:pPr>
              <w:spacing w:line="360" w:lineRule="auto"/>
              <w:jc w:val="center"/>
              <w:rPr>
                <w:rFonts w:hint="eastAsia"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61CC7D4D">
            <w:pPr>
              <w:spacing w:line="360" w:lineRule="auto"/>
              <w:jc w:val="center"/>
              <w:rPr>
                <w:rFonts w:hint="eastAsia" w:ascii="宋体" w:hAnsi="宋体" w:cs="宋体"/>
                <w:color w:val="000000"/>
                <w:szCs w:val="21"/>
              </w:rPr>
            </w:pPr>
          </w:p>
        </w:tc>
      </w:tr>
      <w:tr w14:paraId="40A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17EFC976">
            <w:pPr>
              <w:spacing w:line="360" w:lineRule="auto"/>
              <w:jc w:val="center"/>
              <w:rPr>
                <w:rFonts w:hint="eastAsia"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51062D8">
            <w:pPr>
              <w:spacing w:line="360" w:lineRule="auto"/>
              <w:jc w:val="center"/>
              <w:rPr>
                <w:rFonts w:hint="eastAsia" w:ascii="宋体" w:hAnsi="宋体" w:cs="宋体"/>
                <w:color w:val="000000"/>
                <w:szCs w:val="21"/>
              </w:rPr>
            </w:pPr>
          </w:p>
        </w:tc>
      </w:tr>
      <w:tr w14:paraId="346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628D787">
            <w:pPr>
              <w:spacing w:line="360" w:lineRule="auto"/>
              <w:jc w:val="center"/>
              <w:rPr>
                <w:rFonts w:hint="eastAsia" w:ascii="宋体" w:hAnsi="宋体" w:cs="宋体"/>
                <w:color w:val="000000"/>
                <w:szCs w:val="21"/>
              </w:rPr>
            </w:pPr>
            <w:r>
              <w:rPr>
                <w:rFonts w:hint="eastAsia" w:ascii="宋体" w:hAnsi="宋体" w:cs="宋体"/>
                <w:color w:val="000000"/>
                <w:szCs w:val="21"/>
              </w:rPr>
              <w:t>法人姓名</w:t>
            </w:r>
          </w:p>
        </w:tc>
        <w:tc>
          <w:tcPr>
            <w:tcW w:w="2229" w:type="dxa"/>
            <w:vAlign w:val="center"/>
          </w:tcPr>
          <w:p w14:paraId="27E13428">
            <w:pPr>
              <w:spacing w:line="360" w:lineRule="auto"/>
              <w:jc w:val="center"/>
              <w:rPr>
                <w:rFonts w:hint="eastAsia" w:ascii="宋体" w:hAnsi="宋体" w:cs="宋体"/>
                <w:color w:val="000000"/>
                <w:szCs w:val="21"/>
              </w:rPr>
            </w:pPr>
          </w:p>
        </w:tc>
        <w:tc>
          <w:tcPr>
            <w:tcW w:w="1189" w:type="dxa"/>
            <w:vAlign w:val="center"/>
          </w:tcPr>
          <w:p w14:paraId="059A9B68">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1232" w:type="dxa"/>
            <w:vAlign w:val="center"/>
          </w:tcPr>
          <w:p w14:paraId="17489317">
            <w:pPr>
              <w:spacing w:line="360" w:lineRule="auto"/>
              <w:jc w:val="center"/>
              <w:rPr>
                <w:rFonts w:hint="eastAsia" w:ascii="宋体" w:hAnsi="宋体" w:cs="宋体"/>
                <w:color w:val="000000"/>
                <w:szCs w:val="21"/>
              </w:rPr>
            </w:pPr>
          </w:p>
        </w:tc>
        <w:tc>
          <w:tcPr>
            <w:tcW w:w="847" w:type="dxa"/>
            <w:vAlign w:val="center"/>
          </w:tcPr>
          <w:p w14:paraId="563F9692">
            <w:pPr>
              <w:spacing w:line="360" w:lineRule="auto"/>
              <w:jc w:val="center"/>
              <w:rPr>
                <w:rFonts w:hint="eastAsia" w:ascii="宋体" w:hAnsi="宋体" w:cs="宋体"/>
                <w:color w:val="000000"/>
                <w:szCs w:val="21"/>
              </w:rPr>
            </w:pPr>
            <w:r>
              <w:rPr>
                <w:rFonts w:hint="eastAsia" w:ascii="宋体" w:hAnsi="宋体" w:cs="宋体"/>
                <w:color w:val="000000"/>
                <w:szCs w:val="21"/>
              </w:rPr>
              <w:t>年龄</w:t>
            </w:r>
          </w:p>
        </w:tc>
        <w:tc>
          <w:tcPr>
            <w:tcW w:w="1406" w:type="dxa"/>
            <w:vAlign w:val="center"/>
          </w:tcPr>
          <w:p w14:paraId="6080483D">
            <w:pPr>
              <w:spacing w:line="360" w:lineRule="auto"/>
              <w:jc w:val="center"/>
              <w:rPr>
                <w:rFonts w:hint="eastAsia" w:ascii="宋体" w:hAnsi="宋体" w:cs="宋体"/>
                <w:color w:val="000000"/>
                <w:szCs w:val="21"/>
              </w:rPr>
            </w:pPr>
          </w:p>
        </w:tc>
      </w:tr>
      <w:tr w14:paraId="7351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67C11E1E">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76AD598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特此证明。</w:t>
            </w:r>
          </w:p>
        </w:tc>
      </w:tr>
    </w:tbl>
    <w:p w14:paraId="21A76D21">
      <w:pPr>
        <w:spacing w:line="360" w:lineRule="auto"/>
        <w:rPr>
          <w:rFonts w:hint="eastAsia" w:ascii="宋体" w:hAnsi="宋体" w:cs="宋体"/>
          <w:color w:val="000000"/>
          <w:szCs w:val="21"/>
        </w:rPr>
      </w:pPr>
    </w:p>
    <w:p w14:paraId="2F1245F5">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6B129FF8">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448FD060">
      <w:pPr>
        <w:spacing w:line="360" w:lineRule="auto"/>
        <w:ind w:firstLine="3570" w:firstLineChars="1700"/>
        <w:rPr>
          <w:rFonts w:hint="eastAsia"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5C39C046">
      <w:pPr>
        <w:tabs>
          <w:tab w:val="left" w:pos="6045"/>
        </w:tabs>
        <w:snapToGrid w:val="0"/>
        <w:spacing w:line="360" w:lineRule="auto"/>
        <w:ind w:left="210" w:hanging="210" w:hangingChars="100"/>
        <w:rPr>
          <w:rFonts w:hint="eastAsia" w:ascii="宋体" w:hAnsi="宋体" w:cs="宋体"/>
          <w:color w:val="000000"/>
          <w:szCs w:val="21"/>
        </w:rPr>
      </w:pPr>
    </w:p>
    <w:p w14:paraId="2E922F9F">
      <w:pPr>
        <w:tabs>
          <w:tab w:val="left" w:pos="6045"/>
        </w:tabs>
        <w:snapToGrid w:val="0"/>
        <w:spacing w:line="360" w:lineRule="auto"/>
        <w:ind w:left="210" w:hanging="210" w:hangingChars="100"/>
        <w:rPr>
          <w:szCs w:val="21"/>
        </w:rPr>
      </w:pPr>
    </w:p>
    <w:p w14:paraId="3939B9B5">
      <w:pPr>
        <w:snapToGrid w:val="0"/>
        <w:spacing w:line="360" w:lineRule="auto"/>
        <w:rPr>
          <w:b/>
          <w:szCs w:val="21"/>
        </w:rPr>
      </w:pPr>
      <w:r>
        <w:rPr>
          <w:szCs w:val="21"/>
        </w:rPr>
        <w:t> </w:t>
      </w:r>
    </w:p>
    <w:p w14:paraId="76963183">
      <w:pPr>
        <w:spacing w:line="360" w:lineRule="auto"/>
        <w:rPr>
          <w:szCs w:val="21"/>
        </w:rPr>
      </w:pPr>
      <w:r>
        <w:rPr>
          <w:szCs w:val="21"/>
        </w:rPr>
        <w:t>法定代表人身份证复印件：</w:t>
      </w:r>
    </w:p>
    <w:p w14:paraId="7AF669D8">
      <w:pPr>
        <w:spacing w:line="360" w:lineRule="auto"/>
        <w:rPr>
          <w:szCs w:val="21"/>
        </w:rPr>
      </w:pPr>
    </w:p>
    <w:p w14:paraId="5A477C07">
      <w:pPr>
        <w:snapToGrid w:val="0"/>
        <w:spacing w:line="360" w:lineRule="auto"/>
        <w:jc w:val="center"/>
        <w:rPr>
          <w:b/>
          <w:sz w:val="24"/>
          <w:szCs w:val="28"/>
        </w:rPr>
      </w:pPr>
      <w:r>
        <w:rPr>
          <w:sz w:val="24"/>
        </w:rPr>
        <mc:AlternateContent>
          <mc:Choice Requires="wps">
            <w:drawing>
              <wp:anchor distT="0" distB="0" distL="114300" distR="114300" simplePos="0" relativeHeight="251661312"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025DF208">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1312;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025DF208">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9"/>
                    <a:stretch>
                      <a:fillRect/>
                    </a:stretch>
                  </pic:blipFill>
                  <pic:spPr>
                    <a:xfrm>
                      <a:off x="0" y="0"/>
                      <a:ext cx="5139690" cy="1373505"/>
                    </a:xfrm>
                    <a:prstGeom prst="rect">
                      <a:avLst/>
                    </a:prstGeom>
                    <a:noFill/>
                    <a:ln>
                      <a:noFill/>
                    </a:ln>
                  </pic:spPr>
                </pic:pic>
              </a:graphicData>
            </a:graphic>
          </wp:inline>
        </w:drawing>
      </w:r>
    </w:p>
    <w:p w14:paraId="036DFC6D">
      <w:pPr>
        <w:spacing w:line="400" w:lineRule="exact"/>
        <w:rPr>
          <w:b/>
          <w:bCs/>
          <w:szCs w:val="21"/>
        </w:rPr>
      </w:pPr>
    </w:p>
    <w:p w14:paraId="2D7999F2">
      <w:pPr>
        <w:spacing w:line="400" w:lineRule="exact"/>
        <w:rPr>
          <w:b/>
          <w:bCs/>
          <w:szCs w:val="21"/>
        </w:rPr>
      </w:pPr>
      <w:r>
        <w:rPr>
          <w:b/>
          <w:bCs/>
          <w:szCs w:val="21"/>
        </w:rPr>
        <w:t>注：</w:t>
      </w:r>
    </w:p>
    <w:p w14:paraId="2D13A32B">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656782AF">
      <w:pPr>
        <w:spacing w:line="400" w:lineRule="exact"/>
        <w:rPr>
          <w:sz w:val="24"/>
        </w:rPr>
      </w:pPr>
      <w:r>
        <w:rPr>
          <w:b/>
          <w:bCs/>
          <w:szCs w:val="21"/>
        </w:rPr>
        <w:t>2、法定代表人参加开标会议时，须携带并按要求提交本人身份证原件。</w:t>
      </w:r>
    </w:p>
    <w:p w14:paraId="4F0D5A27">
      <w:pPr>
        <w:pageBreakBefore/>
        <w:spacing w:line="360" w:lineRule="auto"/>
        <w:outlineLvl w:val="1"/>
        <w:rPr>
          <w:b/>
          <w:color w:val="000000"/>
          <w:sz w:val="28"/>
          <w:szCs w:val="28"/>
        </w:rPr>
      </w:pPr>
      <w:r>
        <w:rPr>
          <w:b/>
          <w:color w:val="000000"/>
          <w:sz w:val="28"/>
          <w:szCs w:val="28"/>
        </w:rPr>
        <w:t>授权委托书</w:t>
      </w:r>
    </w:p>
    <w:p w14:paraId="4E485732">
      <w:pPr>
        <w:pStyle w:val="62"/>
        <w:spacing w:line="360" w:lineRule="exact"/>
        <w:jc w:val="center"/>
        <w:rPr>
          <w:rFonts w:ascii="Times New Roman" w:hAnsi="Times New Roman"/>
          <w:b/>
          <w:sz w:val="32"/>
        </w:rPr>
      </w:pPr>
      <w:r>
        <w:rPr>
          <w:rFonts w:ascii="Times New Roman" w:hAnsi="Times New Roman"/>
          <w:b/>
          <w:sz w:val="32"/>
        </w:rPr>
        <w:t>授权委托书</w:t>
      </w:r>
    </w:p>
    <w:p w14:paraId="4845E883">
      <w:pPr>
        <w:pStyle w:val="20"/>
      </w:pPr>
    </w:p>
    <w:p w14:paraId="3CF5D124">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3D652CF7">
      <w:pPr>
        <w:adjustRightInd w:val="0"/>
        <w:snapToGrid w:val="0"/>
        <w:spacing w:line="480" w:lineRule="exact"/>
        <w:ind w:firstLine="397"/>
        <w:rPr>
          <w:szCs w:val="21"/>
        </w:rPr>
      </w:pPr>
      <w:r>
        <w:rPr>
          <w:szCs w:val="21"/>
        </w:rPr>
        <w:t>本授权书于__________年_______月________日起签字生效，特此声明。</w:t>
      </w:r>
    </w:p>
    <w:p w14:paraId="6D7AE63B">
      <w:pPr>
        <w:adjustRightInd w:val="0"/>
        <w:snapToGrid w:val="0"/>
        <w:spacing w:line="480" w:lineRule="exact"/>
        <w:ind w:firstLine="397"/>
        <w:rPr>
          <w:szCs w:val="21"/>
        </w:rPr>
      </w:pPr>
      <w:r>
        <w:rPr>
          <w:szCs w:val="21"/>
        </w:rPr>
        <w:t>被授权人情况如下（必填）：</w:t>
      </w:r>
    </w:p>
    <w:p w14:paraId="1EDF51DB">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7854121A">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4C475D9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68DE444B">
      <w:pPr>
        <w:adjustRightInd w:val="0"/>
        <w:snapToGrid w:val="0"/>
        <w:spacing w:line="360" w:lineRule="auto"/>
        <w:rPr>
          <w:sz w:val="24"/>
        </w:rPr>
      </w:pPr>
    </w:p>
    <w:p w14:paraId="31EED44D">
      <w:pPr>
        <w:spacing w:line="360" w:lineRule="auto"/>
        <w:ind w:firstLine="4620" w:firstLineChars="2200"/>
        <w:rPr>
          <w:szCs w:val="21"/>
        </w:rPr>
      </w:pPr>
      <w:r>
        <w:rPr>
          <w:rFonts w:hint="eastAsia"/>
          <w:szCs w:val="21"/>
        </w:rPr>
        <w:t>供应商</w:t>
      </w:r>
      <w:r>
        <w:rPr>
          <w:szCs w:val="21"/>
        </w:rPr>
        <w:t>名称：（公章）</w:t>
      </w:r>
    </w:p>
    <w:p w14:paraId="32536CC2">
      <w:pPr>
        <w:spacing w:line="360" w:lineRule="auto"/>
        <w:ind w:firstLine="4620" w:firstLineChars="2200"/>
        <w:rPr>
          <w:szCs w:val="21"/>
        </w:rPr>
      </w:pPr>
    </w:p>
    <w:p w14:paraId="45801FB3">
      <w:pPr>
        <w:spacing w:line="360" w:lineRule="auto"/>
        <w:ind w:firstLine="4620" w:firstLineChars="2200"/>
        <w:rPr>
          <w:szCs w:val="21"/>
        </w:rPr>
      </w:pPr>
      <w:r>
        <w:rPr>
          <w:szCs w:val="21"/>
        </w:rPr>
        <w:t>法定代表人签字或盖章：</w:t>
      </w:r>
    </w:p>
    <w:p w14:paraId="5F4CEBF8">
      <w:pPr>
        <w:spacing w:line="360" w:lineRule="auto"/>
        <w:rPr>
          <w:szCs w:val="21"/>
        </w:rPr>
      </w:pPr>
    </w:p>
    <w:p w14:paraId="2505700C">
      <w:pPr>
        <w:spacing w:line="360" w:lineRule="auto"/>
        <w:rPr>
          <w:szCs w:val="21"/>
        </w:rPr>
      </w:pPr>
      <w:r>
        <w:rPr>
          <w:szCs w:val="21"/>
        </w:rPr>
        <w:t>被授权人身份证复印件：</w:t>
      </w:r>
    </w:p>
    <w:p w14:paraId="5CA845DD">
      <w:pPr>
        <w:spacing w:line="360" w:lineRule="auto"/>
        <w:rPr>
          <w:szCs w:val="21"/>
        </w:rPr>
      </w:pPr>
    </w:p>
    <w:p w14:paraId="3E8D1065">
      <w:pPr>
        <w:snapToGrid w:val="0"/>
        <w:spacing w:line="360" w:lineRule="auto"/>
        <w:jc w:val="center"/>
        <w:rPr>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42FE6531">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42FE6531">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9"/>
                    <a:stretch>
                      <a:fillRect/>
                    </a:stretch>
                  </pic:blipFill>
                  <pic:spPr>
                    <a:xfrm>
                      <a:off x="0" y="0"/>
                      <a:ext cx="5380355" cy="1437640"/>
                    </a:xfrm>
                    <a:prstGeom prst="rect">
                      <a:avLst/>
                    </a:prstGeom>
                    <a:noFill/>
                    <a:ln>
                      <a:noFill/>
                    </a:ln>
                  </pic:spPr>
                </pic:pic>
              </a:graphicData>
            </a:graphic>
          </wp:inline>
        </w:drawing>
      </w:r>
    </w:p>
    <w:p w14:paraId="44BAB5C1">
      <w:pPr>
        <w:spacing w:line="360" w:lineRule="auto"/>
        <w:rPr>
          <w:szCs w:val="21"/>
        </w:rPr>
      </w:pPr>
    </w:p>
    <w:p w14:paraId="49DB7665">
      <w:pPr>
        <w:spacing w:line="360" w:lineRule="auto"/>
        <w:rPr>
          <w:szCs w:val="21"/>
        </w:rPr>
      </w:pPr>
    </w:p>
    <w:p w14:paraId="0359CCE6">
      <w:pPr>
        <w:spacing w:line="360" w:lineRule="auto"/>
        <w:rPr>
          <w:szCs w:val="21"/>
        </w:rPr>
      </w:pPr>
    </w:p>
    <w:p w14:paraId="27163C9E">
      <w:pPr>
        <w:spacing w:line="360" w:lineRule="auto"/>
        <w:rPr>
          <w:b/>
          <w:bCs/>
          <w:szCs w:val="21"/>
        </w:rPr>
      </w:pPr>
    </w:p>
    <w:p w14:paraId="1B20418F">
      <w:pPr>
        <w:spacing w:line="360" w:lineRule="auto"/>
        <w:rPr>
          <w:b/>
          <w:bCs/>
          <w:szCs w:val="21"/>
        </w:rPr>
      </w:pPr>
      <w:r>
        <w:rPr>
          <w:b/>
          <w:bCs/>
          <w:szCs w:val="21"/>
        </w:rPr>
        <w:t>注：</w:t>
      </w:r>
    </w:p>
    <w:p w14:paraId="3F7FBB5A">
      <w:pPr>
        <w:rPr>
          <w:b/>
          <w:bCs/>
          <w:szCs w:val="21"/>
        </w:rPr>
      </w:pPr>
      <w:r>
        <w:rPr>
          <w:b/>
          <w:bCs/>
          <w:szCs w:val="21"/>
        </w:rPr>
        <w:t>1、被授权人参加开标会议时，须携带并按要求提交授权委托书和本人身份证原件。</w:t>
      </w:r>
    </w:p>
    <w:p w14:paraId="22435293">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0BC393F1">
      <w:pPr>
        <w:spacing w:line="520" w:lineRule="exact"/>
        <w:rPr>
          <w:sz w:val="28"/>
          <w:szCs w:val="28"/>
        </w:rPr>
      </w:pPr>
    </w:p>
    <w:p w14:paraId="690F436A">
      <w:pPr>
        <w:pStyle w:val="5"/>
        <w:spacing w:line="520" w:lineRule="exact"/>
        <w:rPr>
          <w:sz w:val="28"/>
          <w:szCs w:val="28"/>
        </w:rPr>
      </w:pPr>
      <w:bookmarkStart w:id="52" w:name="_Toc331056451"/>
      <w:bookmarkStart w:id="53" w:name="_Toc322436239"/>
      <w:bookmarkStart w:id="54" w:name="_Toc330998563"/>
      <w:bookmarkStart w:id="55" w:name="_Toc322435834"/>
      <w:bookmarkStart w:id="56" w:name="_Toc322436059"/>
      <w:bookmarkStart w:id="57" w:name="_Toc322436004"/>
      <w:bookmarkStart w:id="58" w:name="_Toc331061672"/>
      <w:r>
        <w:rPr>
          <w:sz w:val="28"/>
          <w:szCs w:val="28"/>
        </w:rPr>
        <w:t>附件</w:t>
      </w:r>
      <w:r>
        <w:rPr>
          <w:rFonts w:hint="eastAsia"/>
          <w:sz w:val="28"/>
          <w:szCs w:val="28"/>
        </w:rPr>
        <w:t>3</w:t>
      </w:r>
      <w:r>
        <w:rPr>
          <w:sz w:val="28"/>
          <w:szCs w:val="28"/>
        </w:rPr>
        <w:t>：开标一览表</w:t>
      </w:r>
      <w:bookmarkEnd w:id="52"/>
      <w:bookmarkEnd w:id="53"/>
      <w:bookmarkEnd w:id="54"/>
      <w:bookmarkEnd w:id="55"/>
      <w:bookmarkEnd w:id="56"/>
      <w:bookmarkEnd w:id="57"/>
      <w:bookmarkEnd w:id="58"/>
      <w:r>
        <w:rPr>
          <w:rFonts w:hint="eastAsia"/>
          <w:sz w:val="28"/>
          <w:szCs w:val="28"/>
        </w:rPr>
        <w:t>、分项报价报</w:t>
      </w:r>
    </w:p>
    <w:p w14:paraId="099A2290">
      <w:pPr>
        <w:spacing w:line="520" w:lineRule="exact"/>
        <w:ind w:firstLine="602" w:firstLineChars="200"/>
        <w:jc w:val="center"/>
        <w:rPr>
          <w:b/>
          <w:bCs/>
          <w:sz w:val="30"/>
          <w:szCs w:val="30"/>
        </w:rPr>
      </w:pPr>
      <w:r>
        <w:rPr>
          <w:b/>
          <w:bCs/>
          <w:sz w:val="30"/>
          <w:szCs w:val="30"/>
        </w:rPr>
        <w:t>开标一览表</w:t>
      </w:r>
    </w:p>
    <w:p w14:paraId="792C94BF">
      <w:pPr>
        <w:spacing w:line="520" w:lineRule="exact"/>
        <w:ind w:firstLine="420" w:firstLineChars="200"/>
        <w:rPr>
          <w:szCs w:val="21"/>
        </w:rPr>
      </w:pPr>
      <w:r>
        <w:rPr>
          <w:szCs w:val="21"/>
        </w:rPr>
        <w:t xml:space="preserve"> </w:t>
      </w:r>
    </w:p>
    <w:p w14:paraId="3E536A8F">
      <w:pPr>
        <w:pStyle w:val="5"/>
        <w:rPr>
          <w:b w:val="0"/>
          <w:bCs w:val="0"/>
          <w:sz w:val="21"/>
          <w:szCs w:val="21"/>
        </w:rPr>
      </w:pPr>
      <w:r>
        <w:rPr>
          <w:b w:val="0"/>
          <w:bCs w:val="0"/>
          <w:sz w:val="21"/>
          <w:szCs w:val="21"/>
        </w:rPr>
        <w:t xml:space="preserve">供应商名称（盖章）:  </w:t>
      </w:r>
    </w:p>
    <w:p w14:paraId="212BBD81">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5E48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2611B144">
            <w:pPr>
              <w:jc w:val="center"/>
              <w:rPr>
                <w:rFonts w:hint="eastAsia" w:ascii="宋体" w:hAnsi="宋体" w:cs="宋体"/>
                <w:szCs w:val="21"/>
              </w:rPr>
            </w:pPr>
            <w:r>
              <w:rPr>
                <w:rFonts w:hint="eastAsia" w:ascii="宋体" w:hAnsi="宋体" w:cs="宋体"/>
                <w:szCs w:val="21"/>
              </w:rPr>
              <w:t>项目名称</w:t>
            </w:r>
          </w:p>
        </w:tc>
        <w:tc>
          <w:tcPr>
            <w:tcW w:w="7563" w:type="dxa"/>
            <w:vAlign w:val="center"/>
          </w:tcPr>
          <w:p w14:paraId="0FCA4869">
            <w:pPr>
              <w:jc w:val="center"/>
              <w:rPr>
                <w:rFonts w:hint="eastAsia" w:ascii="宋体" w:hAnsi="宋体" w:cs="宋体"/>
                <w:szCs w:val="21"/>
              </w:rPr>
            </w:pPr>
          </w:p>
        </w:tc>
      </w:tr>
      <w:tr w14:paraId="71B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227A5A19">
            <w:pPr>
              <w:jc w:val="center"/>
              <w:rPr>
                <w:rFonts w:hint="eastAsia" w:ascii="宋体" w:hAnsi="宋体" w:cs="宋体"/>
                <w:szCs w:val="21"/>
              </w:rPr>
            </w:pPr>
            <w:r>
              <w:rPr>
                <w:rFonts w:hint="eastAsia" w:ascii="宋体" w:hAnsi="宋体" w:cs="宋体"/>
                <w:szCs w:val="21"/>
              </w:rPr>
              <w:t>含税总价（元）</w:t>
            </w:r>
          </w:p>
        </w:tc>
        <w:tc>
          <w:tcPr>
            <w:tcW w:w="7563" w:type="dxa"/>
            <w:vAlign w:val="center"/>
          </w:tcPr>
          <w:p w14:paraId="4ADF405B">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r w14:paraId="64A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3EC24996">
            <w:pPr>
              <w:jc w:val="center"/>
              <w:rPr>
                <w:rFonts w:hint="eastAsia" w:ascii="宋体" w:hAnsi="宋体" w:cs="宋体"/>
                <w:szCs w:val="21"/>
              </w:rPr>
            </w:pPr>
            <w:r>
              <w:rPr>
                <w:rFonts w:hint="eastAsia" w:ascii="宋体" w:hAnsi="宋体" w:cs="宋体"/>
                <w:szCs w:val="21"/>
              </w:rPr>
              <w:t>投标税率</w:t>
            </w:r>
          </w:p>
        </w:tc>
        <w:tc>
          <w:tcPr>
            <w:tcW w:w="7563" w:type="dxa"/>
            <w:vAlign w:val="center"/>
          </w:tcPr>
          <w:p w14:paraId="3E8DE59F">
            <w:pPr>
              <w:jc w:val="center"/>
              <w:rPr>
                <w:rFonts w:hint="eastAsia" w:ascii="宋体" w:hAnsi="宋体" w:cs="宋体"/>
                <w:szCs w:val="21"/>
              </w:rPr>
            </w:pPr>
            <w:r>
              <w:rPr>
                <w:rFonts w:hint="eastAsia" w:ascii="宋体" w:hAnsi="宋体" w:cs="宋体"/>
                <w:szCs w:val="21"/>
              </w:rPr>
              <w:t>%</w:t>
            </w:r>
          </w:p>
        </w:tc>
      </w:tr>
    </w:tbl>
    <w:p w14:paraId="212EC7AF">
      <w:pPr>
        <w:pStyle w:val="39"/>
        <w:rPr>
          <w:rFonts w:ascii="Times New Roman" w:cs="Times New Roman"/>
          <w:szCs w:val="21"/>
        </w:rPr>
      </w:pPr>
    </w:p>
    <w:p w14:paraId="1AAF4384">
      <w:pPr>
        <w:pStyle w:val="39"/>
        <w:rPr>
          <w:rFonts w:ascii="Times New Roman" w:cs="Times New Roman"/>
          <w:szCs w:val="21"/>
        </w:rPr>
      </w:pPr>
    </w:p>
    <w:p w14:paraId="50BDE89B">
      <w:pPr>
        <w:pStyle w:val="39"/>
        <w:rPr>
          <w:rFonts w:ascii="Times New Roman" w:cs="Times New Roman"/>
          <w:szCs w:val="21"/>
        </w:rPr>
      </w:pPr>
    </w:p>
    <w:p w14:paraId="2091715B">
      <w:pPr>
        <w:spacing w:line="280" w:lineRule="exact"/>
        <w:rPr>
          <w:szCs w:val="21"/>
        </w:rPr>
      </w:pPr>
      <w:r>
        <w:rPr>
          <w:szCs w:val="21"/>
        </w:rPr>
        <w:t>法定代表人或代理人（签字或盖章）：</w:t>
      </w:r>
    </w:p>
    <w:p w14:paraId="06B66AE2">
      <w:pPr>
        <w:pStyle w:val="39"/>
        <w:rPr>
          <w:rFonts w:ascii="Times New Roman" w:cs="Times New Roman"/>
          <w:szCs w:val="21"/>
        </w:rPr>
      </w:pPr>
    </w:p>
    <w:p w14:paraId="1F2F03C5">
      <w:pPr>
        <w:pStyle w:val="7"/>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69B061B9">
      <w:pPr>
        <w:spacing w:line="520" w:lineRule="exact"/>
        <w:ind w:firstLine="420" w:firstLineChars="200"/>
        <w:jc w:val="left"/>
        <w:rPr>
          <w:szCs w:val="21"/>
        </w:rPr>
      </w:pPr>
      <w:r>
        <w:rPr>
          <w:szCs w:val="21"/>
        </w:rPr>
        <w:t xml:space="preserve">                                                  </w:t>
      </w:r>
    </w:p>
    <w:p w14:paraId="2EA1E926">
      <w:pPr>
        <w:pStyle w:val="7"/>
        <w:overflowPunct w:val="0"/>
        <w:spacing w:line="500" w:lineRule="exact"/>
        <w:ind w:firstLine="0"/>
        <w:rPr>
          <w:rFonts w:ascii="Times New Roman"/>
          <w:sz w:val="21"/>
          <w:szCs w:val="21"/>
        </w:rPr>
      </w:pPr>
    </w:p>
    <w:p w14:paraId="147A22B6">
      <w:pPr>
        <w:pStyle w:val="7"/>
        <w:overflowPunct w:val="0"/>
        <w:spacing w:line="500" w:lineRule="exact"/>
        <w:ind w:firstLine="0"/>
        <w:rPr>
          <w:rFonts w:ascii="Times New Roman"/>
          <w:sz w:val="21"/>
          <w:szCs w:val="21"/>
        </w:rPr>
      </w:pPr>
    </w:p>
    <w:p w14:paraId="2C9253AB">
      <w:pPr>
        <w:pStyle w:val="7"/>
        <w:overflowPunct w:val="0"/>
        <w:spacing w:line="500" w:lineRule="exact"/>
        <w:ind w:firstLine="0"/>
        <w:rPr>
          <w:rFonts w:ascii="Times New Roman"/>
          <w:sz w:val="21"/>
          <w:szCs w:val="21"/>
        </w:rPr>
      </w:pPr>
    </w:p>
    <w:p w14:paraId="04A09FC4">
      <w:pPr>
        <w:pStyle w:val="7"/>
        <w:overflowPunct w:val="0"/>
        <w:spacing w:line="500" w:lineRule="exact"/>
        <w:ind w:firstLine="0"/>
        <w:rPr>
          <w:rFonts w:ascii="Times New Roman"/>
          <w:sz w:val="21"/>
          <w:szCs w:val="21"/>
        </w:rPr>
      </w:pPr>
    </w:p>
    <w:p w14:paraId="211DD11C">
      <w:pPr>
        <w:pStyle w:val="5"/>
        <w:rPr>
          <w:b w:val="0"/>
          <w:bCs w:val="0"/>
          <w:sz w:val="21"/>
          <w:szCs w:val="21"/>
        </w:rPr>
      </w:pPr>
      <w:bookmarkStart w:id="59" w:name="_Toc331056453"/>
      <w:bookmarkStart w:id="60" w:name="_Toc322436241"/>
      <w:bookmarkStart w:id="61" w:name="_Toc322435836"/>
      <w:bookmarkStart w:id="62" w:name="_Toc331061674"/>
      <w:bookmarkStart w:id="63" w:name="_Toc322436061"/>
      <w:bookmarkStart w:id="64" w:name="_Toc330998565"/>
      <w:bookmarkStart w:id="65" w:name="_Toc322436006"/>
    </w:p>
    <w:p w14:paraId="0FEBEDC6">
      <w:pPr>
        <w:pStyle w:val="5"/>
        <w:rPr>
          <w:b w:val="0"/>
          <w:bCs w:val="0"/>
          <w:sz w:val="21"/>
          <w:szCs w:val="21"/>
        </w:rPr>
      </w:pPr>
    </w:p>
    <w:p w14:paraId="5EC00396">
      <w:pPr>
        <w:rPr>
          <w:szCs w:val="21"/>
        </w:rPr>
      </w:pPr>
    </w:p>
    <w:p w14:paraId="5F0EFD04">
      <w:pPr>
        <w:pStyle w:val="2"/>
        <w:rPr>
          <w:szCs w:val="21"/>
        </w:rPr>
      </w:pPr>
    </w:p>
    <w:p w14:paraId="6FF6D5A6">
      <w:pPr>
        <w:pStyle w:val="2"/>
        <w:rPr>
          <w:szCs w:val="21"/>
        </w:rPr>
        <w:sectPr>
          <w:pgSz w:w="11906" w:h="16838"/>
          <w:pgMar w:top="1440" w:right="1440" w:bottom="1440" w:left="1440" w:header="851" w:footer="992" w:gutter="0"/>
          <w:cols w:space="0" w:num="1"/>
          <w:docGrid w:linePitch="326" w:charSpace="0"/>
        </w:sectPr>
      </w:pPr>
    </w:p>
    <w:p w14:paraId="690D8D29">
      <w:pPr>
        <w:spacing w:line="520" w:lineRule="exact"/>
        <w:ind w:firstLine="602" w:firstLineChars="200"/>
        <w:jc w:val="center"/>
        <w:rPr>
          <w:b/>
          <w:bCs/>
          <w:sz w:val="30"/>
          <w:szCs w:val="30"/>
        </w:rPr>
      </w:pPr>
      <w:r>
        <w:rPr>
          <w:rFonts w:hint="eastAsia"/>
          <w:b/>
          <w:bCs/>
          <w:sz w:val="30"/>
          <w:szCs w:val="30"/>
        </w:rPr>
        <w:t>分项报价表</w:t>
      </w:r>
    </w:p>
    <w:p w14:paraId="47ED3BA1">
      <w:pPr>
        <w:pStyle w:val="5"/>
        <w:spacing w:before="140" w:after="140"/>
        <w:rPr>
          <w:b w:val="0"/>
          <w:bCs w:val="0"/>
          <w:sz w:val="21"/>
          <w:szCs w:val="21"/>
        </w:rPr>
      </w:pPr>
      <w:r>
        <w:rPr>
          <w:b w:val="0"/>
          <w:bCs w:val="0"/>
          <w:sz w:val="21"/>
          <w:szCs w:val="21"/>
        </w:rPr>
        <w:t xml:space="preserve">供应商名称（盖章）: </w:t>
      </w:r>
    </w:p>
    <w:tbl>
      <w:tblPr>
        <w:tblStyle w:val="25"/>
        <w:tblW w:w="0" w:type="auto"/>
        <w:jc w:val="center"/>
        <w:tblLayout w:type="autofit"/>
        <w:tblCellMar>
          <w:top w:w="0" w:type="dxa"/>
          <w:left w:w="108" w:type="dxa"/>
          <w:bottom w:w="0" w:type="dxa"/>
          <w:right w:w="108" w:type="dxa"/>
        </w:tblCellMar>
      </w:tblPr>
      <w:tblGrid>
        <w:gridCol w:w="524"/>
        <w:gridCol w:w="1466"/>
        <w:gridCol w:w="6258"/>
        <w:gridCol w:w="721"/>
        <w:gridCol w:w="770"/>
        <w:gridCol w:w="1135"/>
        <w:gridCol w:w="721"/>
        <w:gridCol w:w="1535"/>
        <w:gridCol w:w="1044"/>
      </w:tblGrid>
      <w:tr w14:paraId="78B1B429">
        <w:tblPrEx>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4139F6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0" w:type="auto"/>
            <w:tcBorders>
              <w:top w:val="single" w:color="auto" w:sz="4" w:space="0"/>
              <w:left w:val="nil"/>
              <w:bottom w:val="single" w:color="auto" w:sz="4" w:space="0"/>
              <w:right w:val="single" w:color="auto" w:sz="4" w:space="0"/>
            </w:tcBorders>
            <w:vAlign w:val="center"/>
          </w:tcPr>
          <w:p w14:paraId="35D330D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药品</w:t>
            </w:r>
          </w:p>
        </w:tc>
        <w:tc>
          <w:tcPr>
            <w:tcW w:w="0" w:type="auto"/>
            <w:tcBorders>
              <w:top w:val="single" w:color="auto" w:sz="4" w:space="0"/>
              <w:left w:val="nil"/>
              <w:bottom w:val="single" w:color="auto" w:sz="4" w:space="0"/>
              <w:right w:val="single" w:color="auto" w:sz="4" w:space="0"/>
            </w:tcBorders>
            <w:vAlign w:val="center"/>
          </w:tcPr>
          <w:p w14:paraId="67ECA73A">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药品形态参数</w:t>
            </w:r>
          </w:p>
        </w:tc>
        <w:tc>
          <w:tcPr>
            <w:tcW w:w="0" w:type="auto"/>
            <w:tcBorders>
              <w:top w:val="single" w:color="auto" w:sz="4" w:space="0"/>
              <w:bottom w:val="single" w:color="auto" w:sz="4" w:space="0"/>
              <w:right w:val="single" w:color="auto" w:sz="4" w:space="0"/>
            </w:tcBorders>
            <w:vAlign w:val="center"/>
          </w:tcPr>
          <w:p w14:paraId="5FCE96A8">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包装规格</w:t>
            </w:r>
          </w:p>
        </w:tc>
        <w:tc>
          <w:tcPr>
            <w:tcW w:w="0" w:type="auto"/>
            <w:tcBorders>
              <w:top w:val="single" w:color="auto" w:sz="4" w:space="0"/>
              <w:bottom w:val="single" w:color="auto" w:sz="4" w:space="0"/>
            </w:tcBorders>
            <w:vAlign w:val="center"/>
          </w:tcPr>
          <w:p w14:paraId="2773D1CE">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品牌/产地</w:t>
            </w:r>
          </w:p>
        </w:tc>
        <w:tc>
          <w:tcPr>
            <w:tcW w:w="0" w:type="auto"/>
            <w:tcBorders>
              <w:top w:val="single" w:color="auto" w:sz="4" w:space="0"/>
              <w:left w:val="single" w:color="auto" w:sz="4" w:space="0"/>
              <w:bottom w:val="single" w:color="auto" w:sz="4" w:space="0"/>
              <w:right w:val="single" w:color="auto" w:sz="4" w:space="0"/>
            </w:tcBorders>
            <w:vAlign w:val="center"/>
          </w:tcPr>
          <w:p w14:paraId="65581124">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0" w:type="auto"/>
            <w:tcBorders>
              <w:top w:val="single" w:color="auto" w:sz="4" w:space="0"/>
              <w:left w:val="nil"/>
              <w:bottom w:val="single" w:color="auto" w:sz="4" w:space="0"/>
              <w:right w:val="single" w:color="auto" w:sz="4" w:space="0"/>
            </w:tcBorders>
            <w:vAlign w:val="center"/>
          </w:tcPr>
          <w:p w14:paraId="527EC1CC">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c>
          <w:tcPr>
            <w:tcW w:w="0" w:type="auto"/>
            <w:tcBorders>
              <w:top w:val="single" w:color="auto" w:sz="4" w:space="0"/>
              <w:bottom w:val="single" w:color="auto" w:sz="4" w:space="0"/>
              <w:right w:val="single" w:color="auto" w:sz="4" w:space="0"/>
            </w:tcBorders>
            <w:vAlign w:val="center"/>
          </w:tcPr>
          <w:p w14:paraId="2F1E2A9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投标</w:t>
            </w:r>
            <w:r>
              <w:rPr>
                <w:rFonts w:hint="eastAsia" w:ascii="宋体" w:hAnsi="宋体" w:cs="宋体"/>
                <w:color w:val="000000"/>
                <w:kern w:val="0"/>
                <w:szCs w:val="21"/>
                <w:highlight w:val="none"/>
              </w:rPr>
              <w:t>全费用单价（元）</w:t>
            </w:r>
          </w:p>
        </w:tc>
        <w:tc>
          <w:tcPr>
            <w:tcW w:w="0" w:type="auto"/>
            <w:tcBorders>
              <w:top w:val="single" w:color="auto" w:sz="4" w:space="0"/>
              <w:left w:val="single" w:color="auto" w:sz="4" w:space="0"/>
              <w:bottom w:val="single" w:color="auto" w:sz="4" w:space="0"/>
              <w:right w:val="single" w:color="auto" w:sz="4" w:space="0"/>
            </w:tcBorders>
            <w:vAlign w:val="center"/>
          </w:tcPr>
          <w:p w14:paraId="102A705B">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小计（元）</w:t>
            </w:r>
          </w:p>
        </w:tc>
      </w:tr>
      <w:tr w14:paraId="0E07D32D">
        <w:tblPrEx>
          <w:tblCellMar>
            <w:top w:w="0" w:type="dxa"/>
            <w:left w:w="108" w:type="dxa"/>
            <w:bottom w:w="0" w:type="dxa"/>
            <w:right w:w="108" w:type="dxa"/>
          </w:tblCellMar>
        </w:tblPrEx>
        <w:trPr>
          <w:trHeight w:val="2122" w:hRule="atLeast"/>
          <w:jc w:val="center"/>
        </w:trPr>
        <w:tc>
          <w:tcPr>
            <w:tcW w:w="0" w:type="auto"/>
            <w:vMerge w:val="restart"/>
            <w:tcBorders>
              <w:top w:val="nil"/>
              <w:left w:val="single" w:color="auto" w:sz="4" w:space="0"/>
              <w:right w:val="single" w:color="auto" w:sz="4" w:space="0"/>
            </w:tcBorders>
            <w:vAlign w:val="center"/>
          </w:tcPr>
          <w:p w14:paraId="185FF1E8">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0" w:type="auto"/>
            <w:vMerge w:val="restart"/>
            <w:tcBorders>
              <w:top w:val="nil"/>
              <w:left w:val="nil"/>
              <w:right w:val="single" w:color="auto" w:sz="4" w:space="0"/>
            </w:tcBorders>
            <w:vAlign w:val="center"/>
          </w:tcPr>
          <w:p w14:paraId="01402692">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次钠(提供三个不同厂家)</w:t>
            </w:r>
          </w:p>
        </w:tc>
        <w:tc>
          <w:tcPr>
            <w:tcW w:w="0" w:type="auto"/>
            <w:tcBorders>
              <w:top w:val="nil"/>
              <w:left w:val="nil"/>
              <w:bottom w:val="single" w:color="auto" w:sz="4" w:space="0"/>
              <w:right w:val="single" w:color="auto" w:sz="4" w:space="0"/>
            </w:tcBorders>
            <w:vAlign w:val="center"/>
          </w:tcPr>
          <w:p w14:paraId="380E914E">
            <w:pPr>
              <w:widowControl/>
              <w:adjustRightInd w:val="0"/>
              <w:snapToGrid w:val="0"/>
              <w:spacing w:line="280" w:lineRule="exac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3475C49C">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160ED2ED">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5C4323F2">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382A144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4C6AACE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60346275">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04A3D1AA">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300A043E">
        <w:tblPrEx>
          <w:tblCellMar>
            <w:top w:w="0" w:type="dxa"/>
            <w:left w:w="108" w:type="dxa"/>
            <w:bottom w:w="0" w:type="dxa"/>
            <w:right w:w="108" w:type="dxa"/>
          </w:tblCellMar>
        </w:tblPrEx>
        <w:trPr>
          <w:trHeight w:val="2047" w:hRule="atLeast"/>
          <w:jc w:val="center"/>
        </w:trPr>
        <w:tc>
          <w:tcPr>
            <w:tcW w:w="0" w:type="auto"/>
            <w:vMerge w:val="continue"/>
            <w:tcBorders>
              <w:left w:val="single" w:color="auto" w:sz="4" w:space="0"/>
              <w:right w:val="single" w:color="auto" w:sz="4" w:space="0"/>
            </w:tcBorders>
            <w:vAlign w:val="center"/>
          </w:tcPr>
          <w:p w14:paraId="1D6B2143">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right w:val="single" w:color="auto" w:sz="4" w:space="0"/>
            </w:tcBorders>
            <w:vAlign w:val="center"/>
          </w:tcPr>
          <w:p w14:paraId="789AE213">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0CB518CD">
            <w:pPr>
              <w:widowControl/>
              <w:adjustRightInd w:val="0"/>
              <w:snapToGrid w:val="0"/>
              <w:spacing w:line="280" w:lineRule="exac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65C486EC">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56E9E829">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60F636BA">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7C6AB50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47A2CCCD">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75AE9A1E">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2ED96FD3">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7A06995F">
        <w:tblPrEx>
          <w:tblCellMar>
            <w:top w:w="0" w:type="dxa"/>
            <w:left w:w="108" w:type="dxa"/>
            <w:bottom w:w="0" w:type="dxa"/>
            <w:right w:w="108" w:type="dxa"/>
          </w:tblCellMar>
        </w:tblPrEx>
        <w:trPr>
          <w:trHeight w:val="204" w:hRule="atLeast"/>
          <w:jc w:val="center"/>
        </w:trPr>
        <w:tc>
          <w:tcPr>
            <w:tcW w:w="0" w:type="auto"/>
            <w:vMerge w:val="continue"/>
            <w:tcBorders>
              <w:left w:val="single" w:color="auto" w:sz="4" w:space="0"/>
              <w:bottom w:val="single" w:color="auto" w:sz="4" w:space="0"/>
              <w:right w:val="single" w:color="auto" w:sz="4" w:space="0"/>
            </w:tcBorders>
            <w:vAlign w:val="center"/>
          </w:tcPr>
          <w:p w14:paraId="71A99203">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533BBF30">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5425EEBF">
            <w:pPr>
              <w:widowControl/>
              <w:adjustRightInd w:val="0"/>
              <w:snapToGrid w:val="0"/>
              <w:spacing w:line="280" w:lineRule="exact"/>
              <w:rPr>
                <w:highlight w:val="none"/>
              </w:rPr>
            </w:pPr>
            <w:r>
              <w:rPr>
                <w:rStyle w:val="28"/>
                <w:highlight w:val="none"/>
              </w:rPr>
              <w:t>形态：</w:t>
            </w:r>
            <w:r>
              <w:rPr>
                <w:highlight w:val="none"/>
              </w:rPr>
              <w:t>液体</w:t>
            </w:r>
            <w:r>
              <w:rPr>
                <w:highlight w:val="none"/>
              </w:rPr>
              <w:br w:type="textWrapping"/>
            </w:r>
            <w:r>
              <w:rPr>
                <w:rStyle w:val="28"/>
                <w:highlight w:val="none"/>
              </w:rPr>
              <w:t>浓度：</w:t>
            </w:r>
            <w:r>
              <w:rPr>
                <w:highlight w:val="none"/>
              </w:rPr>
              <w:t>有效氯含量 10%</w:t>
            </w:r>
            <w:r>
              <w:rPr>
                <w:highlight w:val="none"/>
              </w:rPr>
              <w:br w:type="textWrapping"/>
            </w:r>
            <w:r>
              <w:rPr>
                <w:rStyle w:val="28"/>
                <w:rFonts w:ascii="Segoe UI Symbol" w:hAnsi="Segoe UI Symbol" w:cs="Segoe UI Symbol"/>
                <w:highlight w:val="none"/>
              </w:rPr>
              <w:t>★</w:t>
            </w:r>
            <w:r>
              <w:rPr>
                <w:rStyle w:val="28"/>
                <w:highlight w:val="none"/>
              </w:rPr>
              <w:t>关键指标：</w:t>
            </w:r>
            <w:r>
              <w:rPr>
                <w:highlight w:val="none"/>
              </w:rPr>
              <w:t>有效氯≥10%，重金属（以Pb计）≤10mg/kg，pH值（原液）≥11.0</w:t>
            </w:r>
            <w:r>
              <w:rPr>
                <w:highlight w:val="none"/>
              </w:rPr>
              <w:br w:type="textWrapping"/>
            </w:r>
            <w:r>
              <w:rPr>
                <w:rStyle w:val="28"/>
                <w:highlight w:val="none"/>
              </w:rPr>
              <w:t>执行标准：</w:t>
            </w:r>
            <w:r>
              <w:rPr>
                <w:highlight w:val="none"/>
              </w:rPr>
              <w:t>GB/T 19106-2013 《次氯酸钠》</w:t>
            </w:r>
            <w:r>
              <w:rPr>
                <w:highlight w:val="none"/>
              </w:rPr>
              <w:br w:type="textWrapping"/>
            </w:r>
            <w:r>
              <w:rPr>
                <w:rStyle w:val="28"/>
                <w:highlight w:val="none"/>
              </w:rPr>
              <w:t>包装运输：</w:t>
            </w:r>
            <w:r>
              <w:rPr>
                <w:highlight w:val="none"/>
              </w:rPr>
              <w:t>聚乙烯塑料桶或槽罐车。强氧化剂，腐蚀品，危险品运输。避免与酸性物质混合。</w:t>
            </w:r>
          </w:p>
          <w:p w14:paraId="25037434">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36D3757A">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79682563">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0EC574E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7B3D796A">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59933FBF">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62BEE3E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6C33469B">
        <w:tblPrEx>
          <w:tblCellMar>
            <w:top w:w="0" w:type="dxa"/>
            <w:left w:w="108" w:type="dxa"/>
            <w:bottom w:w="0" w:type="dxa"/>
            <w:right w:w="108" w:type="dxa"/>
          </w:tblCellMar>
        </w:tblPrEx>
        <w:trPr>
          <w:trHeight w:val="90" w:hRule="atLeast"/>
          <w:jc w:val="center"/>
        </w:trPr>
        <w:tc>
          <w:tcPr>
            <w:tcW w:w="0" w:type="auto"/>
            <w:vMerge w:val="restart"/>
            <w:tcBorders>
              <w:top w:val="nil"/>
              <w:left w:val="single" w:color="auto" w:sz="4" w:space="0"/>
              <w:right w:val="single" w:color="auto" w:sz="4" w:space="0"/>
            </w:tcBorders>
            <w:vAlign w:val="center"/>
          </w:tcPr>
          <w:p w14:paraId="30A9B2F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0" w:type="auto"/>
            <w:vMerge w:val="restart"/>
            <w:tcBorders>
              <w:top w:val="nil"/>
              <w:left w:val="nil"/>
              <w:right w:val="single" w:color="auto" w:sz="4" w:space="0"/>
            </w:tcBorders>
            <w:vAlign w:val="center"/>
          </w:tcPr>
          <w:p w14:paraId="019DFD04">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液碱</w:t>
            </w:r>
          </w:p>
        </w:tc>
        <w:tc>
          <w:tcPr>
            <w:tcW w:w="0" w:type="auto"/>
            <w:tcBorders>
              <w:top w:val="nil"/>
              <w:left w:val="nil"/>
              <w:bottom w:val="single" w:color="auto" w:sz="4" w:space="0"/>
              <w:right w:val="single" w:color="auto" w:sz="4" w:space="0"/>
            </w:tcBorders>
            <w:vAlign w:val="center"/>
          </w:tcPr>
          <w:p w14:paraId="2B2363A5">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NaOH含量 30%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NaOH≥30%，Na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0.5%，NaCl≤0.03%</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209-2018 《工业用氢氧化钠》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塑料桶或槽罐车。强腐蚀性，危险品运输。</w:t>
            </w:r>
          </w:p>
          <w:p w14:paraId="26897BB9">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1AB0C4E7">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5CBBFDE4">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4E9777C5">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6F61D484">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1B5E6813">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410822F9">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4103D005">
        <w:tblPrEx>
          <w:tblCellMar>
            <w:top w:w="0" w:type="dxa"/>
            <w:left w:w="108" w:type="dxa"/>
            <w:bottom w:w="0" w:type="dxa"/>
            <w:right w:w="108" w:type="dxa"/>
          </w:tblCellMar>
        </w:tblPrEx>
        <w:trPr>
          <w:trHeight w:val="1690" w:hRule="atLeast"/>
          <w:jc w:val="center"/>
        </w:trPr>
        <w:tc>
          <w:tcPr>
            <w:tcW w:w="0" w:type="auto"/>
            <w:vMerge w:val="continue"/>
            <w:tcBorders>
              <w:left w:val="single" w:color="auto" w:sz="4" w:space="0"/>
              <w:right w:val="single" w:color="auto" w:sz="4" w:space="0"/>
            </w:tcBorders>
            <w:vAlign w:val="center"/>
          </w:tcPr>
          <w:p w14:paraId="224A5239">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right w:val="single" w:color="auto" w:sz="4" w:space="0"/>
            </w:tcBorders>
            <w:vAlign w:val="center"/>
          </w:tcPr>
          <w:p w14:paraId="0A734099">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0741137B">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NaOH含量 32%</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NaOH≥32%，Na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0.5%，NaCl≤0.03%，Fe</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₃</w:t>
            </w:r>
            <w:r>
              <w:rPr>
                <w:rFonts w:hint="eastAsia" w:ascii="宋体" w:hAnsi="宋体" w:cs="宋体"/>
                <w:color w:val="000000"/>
                <w:szCs w:val="21"/>
                <w:highlight w:val="none"/>
              </w:rPr>
              <w:t>≤</w:t>
            </w:r>
            <w:r>
              <w:rPr>
                <w:rFonts w:ascii="宋体" w:hAnsi="宋体" w:cs="宋体"/>
                <w:color w:val="000000"/>
                <w:szCs w:val="21"/>
                <w:highlight w:val="none"/>
              </w:rPr>
              <w:t>0.005%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209-2018 《工业用氢氧化钠》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塑料桶或槽罐车。强腐蚀性，危险品运输。</w:t>
            </w:r>
          </w:p>
          <w:p w14:paraId="7C863920">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35E87FDE">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3873E9DB">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10371F0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41DB0A94">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5526A62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3DAB03DA">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2CD34252">
        <w:tblPrEx>
          <w:tblCellMar>
            <w:top w:w="0" w:type="dxa"/>
            <w:left w:w="108" w:type="dxa"/>
            <w:bottom w:w="0" w:type="dxa"/>
            <w:right w:w="108" w:type="dxa"/>
          </w:tblCellMar>
        </w:tblPrEx>
        <w:trPr>
          <w:trHeight w:val="1533" w:hRule="atLeast"/>
          <w:jc w:val="center"/>
        </w:trPr>
        <w:tc>
          <w:tcPr>
            <w:tcW w:w="0" w:type="auto"/>
            <w:vMerge w:val="continue"/>
            <w:tcBorders>
              <w:left w:val="single" w:color="auto" w:sz="4" w:space="0"/>
              <w:bottom w:val="single" w:color="auto" w:sz="4" w:space="0"/>
              <w:right w:val="single" w:color="auto" w:sz="4" w:space="0"/>
            </w:tcBorders>
            <w:vAlign w:val="center"/>
          </w:tcPr>
          <w:p w14:paraId="498279BC">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138E145A">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231C9785">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纳米碱含量 25%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有效碱含量≥25%，粒径分布（D50）≤100nm（需提供检测报告）</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w:t>
            </w:r>
            <w:r>
              <w:rPr>
                <w:rFonts w:hint="eastAsia" w:ascii="宋体" w:hAnsi="宋体" w:cs="宋体"/>
                <w:color w:val="000000"/>
                <w:szCs w:val="21"/>
                <w:highlight w:val="none"/>
              </w:rPr>
              <w:t>或槽罐车</w:t>
            </w:r>
            <w:r>
              <w:rPr>
                <w:rFonts w:ascii="宋体" w:hAnsi="宋体" w:cs="宋体"/>
                <w:color w:val="000000"/>
                <w:szCs w:val="21"/>
                <w:highlight w:val="none"/>
              </w:rPr>
              <w:t>。防冻、防曝晒。普通货物运输（按企业标准规定）</w:t>
            </w:r>
          </w:p>
          <w:p w14:paraId="51E80281">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5FDF8586">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19E26C92">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4F35E0F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60</w:t>
            </w:r>
          </w:p>
        </w:tc>
        <w:tc>
          <w:tcPr>
            <w:tcW w:w="0" w:type="auto"/>
            <w:tcBorders>
              <w:top w:val="nil"/>
              <w:left w:val="nil"/>
              <w:bottom w:val="single" w:color="auto" w:sz="4" w:space="0"/>
              <w:right w:val="single" w:color="auto" w:sz="4" w:space="0"/>
            </w:tcBorders>
            <w:vAlign w:val="center"/>
          </w:tcPr>
          <w:p w14:paraId="560D249C">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0" w:type="auto"/>
            <w:tcBorders>
              <w:top w:val="single" w:color="auto" w:sz="4" w:space="0"/>
              <w:bottom w:val="single" w:color="auto" w:sz="4" w:space="0"/>
              <w:right w:val="single" w:color="auto" w:sz="4" w:space="0"/>
            </w:tcBorders>
          </w:tcPr>
          <w:p w14:paraId="24B50A13">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94394B">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7551E37F">
        <w:tblPrEx>
          <w:tblCellMar>
            <w:top w:w="0" w:type="dxa"/>
            <w:left w:w="108" w:type="dxa"/>
            <w:bottom w:w="0" w:type="dxa"/>
            <w:right w:w="108" w:type="dxa"/>
          </w:tblCellMar>
        </w:tblPrEx>
        <w:trPr>
          <w:trHeight w:val="1485" w:hRule="atLeast"/>
          <w:jc w:val="center"/>
        </w:trPr>
        <w:tc>
          <w:tcPr>
            <w:tcW w:w="0" w:type="auto"/>
            <w:vMerge w:val="restart"/>
            <w:tcBorders>
              <w:top w:val="nil"/>
              <w:left w:val="single" w:color="auto" w:sz="4" w:space="0"/>
              <w:right w:val="single" w:color="auto" w:sz="4" w:space="0"/>
            </w:tcBorders>
            <w:vAlign w:val="center"/>
          </w:tcPr>
          <w:p w14:paraId="1653D64A">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0" w:type="auto"/>
            <w:vMerge w:val="restart"/>
            <w:tcBorders>
              <w:top w:val="nil"/>
              <w:left w:val="nil"/>
              <w:right w:val="single" w:color="auto" w:sz="4" w:space="0"/>
            </w:tcBorders>
            <w:vAlign w:val="center"/>
          </w:tcPr>
          <w:p w14:paraId="0C7E915A">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石灰</w:t>
            </w:r>
          </w:p>
        </w:tc>
        <w:tc>
          <w:tcPr>
            <w:tcW w:w="0" w:type="auto"/>
            <w:tcBorders>
              <w:top w:val="nil"/>
              <w:left w:val="nil"/>
              <w:bottom w:val="single" w:color="auto" w:sz="4" w:space="0"/>
              <w:right w:val="single" w:color="auto" w:sz="4" w:space="0"/>
            </w:tcBorders>
            <w:vAlign w:val="center"/>
          </w:tcPr>
          <w:p w14:paraId="55DB7F7E">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粉末</w:t>
            </w:r>
            <w:r>
              <w:rPr>
                <w:rFonts w:ascii="宋体" w:hAnsi="宋体" w:cs="宋体"/>
                <w:color w:val="000000"/>
                <w:szCs w:val="21"/>
                <w:highlight w:val="none"/>
              </w:rPr>
              <w:br w:type="textWrapping"/>
            </w:r>
            <w:r>
              <w:rPr>
                <w:rFonts w:ascii="宋体" w:hAnsi="宋体" w:cs="宋体"/>
                <w:b/>
                <w:bCs/>
                <w:color w:val="000000"/>
                <w:szCs w:val="21"/>
                <w:highlight w:val="none"/>
              </w:rPr>
              <w:t>细度/纯度：</w:t>
            </w:r>
            <w:r>
              <w:rPr>
                <w:rFonts w:ascii="宋体" w:hAnsi="宋体" w:cs="宋体"/>
                <w:color w:val="000000"/>
                <w:szCs w:val="21"/>
                <w:highlight w:val="none"/>
              </w:rPr>
              <w:t>纯度≥90%，细度通过300目筛≥95%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CaO含量≥90%，活性度≥300mL，MgO含量≤2.0%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4205-2011 《工业氧化钙》</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hint="eastAsia" w:ascii="宋体" w:hAnsi="宋体" w:cs="宋体"/>
                <w:color w:val="000000"/>
                <w:szCs w:val="21"/>
                <w:highlight w:val="none"/>
              </w:rPr>
              <w:t>槽罐车</w:t>
            </w:r>
            <w:r>
              <w:rPr>
                <w:rFonts w:ascii="宋体" w:hAnsi="宋体" w:cs="宋体"/>
                <w:color w:val="000000"/>
                <w:szCs w:val="21"/>
                <w:highlight w:val="none"/>
              </w:rPr>
              <w:t>。防潮。普通货物运输。</w:t>
            </w:r>
          </w:p>
          <w:p w14:paraId="65A05E02">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6CCC61A9">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3289E6D5">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2FE4F757">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0" w:type="auto"/>
            <w:tcBorders>
              <w:top w:val="nil"/>
              <w:left w:val="nil"/>
              <w:bottom w:val="single" w:color="auto" w:sz="4" w:space="0"/>
              <w:right w:val="single" w:color="auto" w:sz="4" w:space="0"/>
            </w:tcBorders>
            <w:vAlign w:val="center"/>
          </w:tcPr>
          <w:p w14:paraId="2190BB12">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0" w:type="auto"/>
            <w:tcBorders>
              <w:top w:val="single" w:color="auto" w:sz="4" w:space="0"/>
              <w:bottom w:val="single" w:color="auto" w:sz="4" w:space="0"/>
              <w:right w:val="single" w:color="auto" w:sz="4" w:space="0"/>
            </w:tcBorders>
          </w:tcPr>
          <w:p w14:paraId="730969F3">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DF8B4F">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254E8E34">
        <w:tblPrEx>
          <w:tblCellMar>
            <w:top w:w="0" w:type="dxa"/>
            <w:left w:w="108" w:type="dxa"/>
            <w:bottom w:w="0" w:type="dxa"/>
            <w:right w:w="108" w:type="dxa"/>
          </w:tblCellMar>
        </w:tblPrEx>
        <w:trPr>
          <w:trHeight w:val="1530" w:hRule="atLeast"/>
          <w:jc w:val="center"/>
        </w:trPr>
        <w:tc>
          <w:tcPr>
            <w:tcW w:w="0" w:type="auto"/>
            <w:vMerge w:val="continue"/>
            <w:tcBorders>
              <w:left w:val="single" w:color="auto" w:sz="4" w:space="0"/>
              <w:right w:val="single" w:color="auto" w:sz="4" w:space="0"/>
            </w:tcBorders>
            <w:vAlign w:val="center"/>
          </w:tcPr>
          <w:p w14:paraId="63431CCA">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right w:val="single" w:color="auto" w:sz="4" w:space="0"/>
            </w:tcBorders>
            <w:vAlign w:val="center"/>
          </w:tcPr>
          <w:p w14:paraId="6AFFA988">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5B0128AB">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粉末</w:t>
            </w:r>
            <w:r>
              <w:rPr>
                <w:rFonts w:ascii="宋体" w:hAnsi="宋体" w:cs="宋体"/>
                <w:color w:val="000000"/>
                <w:szCs w:val="21"/>
                <w:highlight w:val="none"/>
              </w:rPr>
              <w:br w:type="textWrapping"/>
            </w:r>
            <w:r>
              <w:rPr>
                <w:rFonts w:ascii="宋体" w:hAnsi="宋体" w:cs="宋体"/>
                <w:b/>
                <w:bCs/>
                <w:color w:val="000000"/>
                <w:szCs w:val="21"/>
                <w:highlight w:val="none"/>
              </w:rPr>
              <w:t>细度/纯度：</w:t>
            </w:r>
            <w:r>
              <w:rPr>
                <w:rFonts w:ascii="宋体" w:hAnsi="宋体" w:cs="宋体"/>
                <w:color w:val="000000"/>
                <w:szCs w:val="21"/>
                <w:highlight w:val="none"/>
              </w:rPr>
              <w:t>纯度≥90%，细度通过250目筛≥95%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CaO含量≥90%，活性度≥280mL，MgO含量≤2.0%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4205-2011 《工业氧化钙》</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hint="eastAsia" w:ascii="宋体" w:hAnsi="宋体" w:cs="宋体"/>
                <w:color w:val="000000"/>
                <w:szCs w:val="21"/>
                <w:highlight w:val="none"/>
              </w:rPr>
              <w:t>槽罐车</w:t>
            </w:r>
            <w:r>
              <w:rPr>
                <w:rFonts w:ascii="宋体" w:hAnsi="宋体" w:cs="宋体"/>
                <w:color w:val="000000"/>
                <w:szCs w:val="21"/>
                <w:highlight w:val="none"/>
              </w:rPr>
              <w:t>。防潮。普通货物运输。</w:t>
            </w:r>
          </w:p>
          <w:p w14:paraId="44AFF408">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7A240386">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637E50B9">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3CA9FE17">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0" w:type="auto"/>
            <w:tcBorders>
              <w:top w:val="nil"/>
              <w:left w:val="nil"/>
              <w:bottom w:val="single" w:color="auto" w:sz="4" w:space="0"/>
              <w:right w:val="single" w:color="auto" w:sz="4" w:space="0"/>
            </w:tcBorders>
            <w:vAlign w:val="center"/>
          </w:tcPr>
          <w:p w14:paraId="4768347B">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0" w:type="auto"/>
            <w:tcBorders>
              <w:top w:val="single" w:color="auto" w:sz="4" w:space="0"/>
              <w:bottom w:val="single" w:color="auto" w:sz="4" w:space="0"/>
              <w:right w:val="single" w:color="auto" w:sz="4" w:space="0"/>
            </w:tcBorders>
          </w:tcPr>
          <w:p w14:paraId="023D081E">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043C1D6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534636F8">
        <w:tblPrEx>
          <w:tblCellMar>
            <w:top w:w="0" w:type="dxa"/>
            <w:left w:w="108" w:type="dxa"/>
            <w:bottom w:w="0" w:type="dxa"/>
            <w:right w:w="108" w:type="dxa"/>
          </w:tblCellMar>
        </w:tblPrEx>
        <w:trPr>
          <w:trHeight w:val="1395" w:hRule="atLeast"/>
          <w:jc w:val="center"/>
        </w:trPr>
        <w:tc>
          <w:tcPr>
            <w:tcW w:w="0" w:type="auto"/>
            <w:vMerge w:val="continue"/>
            <w:tcBorders>
              <w:left w:val="single" w:color="auto" w:sz="4" w:space="0"/>
              <w:bottom w:val="single" w:color="auto" w:sz="4" w:space="0"/>
              <w:right w:val="single" w:color="auto" w:sz="4" w:space="0"/>
            </w:tcBorders>
            <w:vAlign w:val="center"/>
          </w:tcPr>
          <w:p w14:paraId="221D456E">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736D6396">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11539151">
            <w:pPr>
              <w:widowControl/>
              <w:adjustRightInd w:val="0"/>
              <w:snapToGrid w:val="0"/>
              <w:spacing w:line="280" w:lineRule="exac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粉末</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细度/纯度：</w:t>
            </w:r>
            <w:r>
              <w:rPr>
                <w:rFonts w:ascii="宋体" w:hAnsi="宋体" w:cs="宋体"/>
                <w:color w:val="000000"/>
                <w:kern w:val="0"/>
                <w:szCs w:val="21"/>
                <w:highlight w:val="none"/>
              </w:rPr>
              <w:t>纯度≥85%，细度通过250目筛≥95%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★关键指标：</w:t>
            </w:r>
            <w:r>
              <w:rPr>
                <w:rFonts w:ascii="宋体" w:hAnsi="宋体" w:cs="宋体"/>
                <w:color w:val="000000"/>
                <w:kern w:val="0"/>
                <w:szCs w:val="21"/>
                <w:highlight w:val="none"/>
              </w:rPr>
              <w:t>CaO含量≥85%，活性度≥250mL，MgO含量≤2.5%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HG/T 4205-2011 《工业氧化钙》</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hint="eastAsia" w:ascii="宋体" w:hAnsi="宋体" w:cs="宋体"/>
                <w:color w:val="000000"/>
                <w:kern w:val="0"/>
                <w:szCs w:val="21"/>
                <w:highlight w:val="none"/>
              </w:rPr>
              <w:t>槽罐车</w:t>
            </w:r>
            <w:r>
              <w:rPr>
                <w:rFonts w:ascii="宋体" w:hAnsi="宋体" w:cs="宋体"/>
                <w:color w:val="000000"/>
                <w:kern w:val="0"/>
                <w:szCs w:val="21"/>
                <w:highlight w:val="none"/>
              </w:rPr>
              <w:t>。防潮。普通货物运输</w:t>
            </w:r>
          </w:p>
          <w:p w14:paraId="7F839AB0">
            <w:pPr>
              <w:pStyle w:val="2"/>
              <w:widowControl/>
              <w:adjustRightInd w:val="0"/>
              <w:snapToGrid w:val="0"/>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2AB264F6">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2F217ECD">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00002343">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90</w:t>
            </w:r>
          </w:p>
        </w:tc>
        <w:tc>
          <w:tcPr>
            <w:tcW w:w="0" w:type="auto"/>
            <w:tcBorders>
              <w:top w:val="nil"/>
              <w:left w:val="nil"/>
              <w:bottom w:val="single" w:color="auto" w:sz="4" w:space="0"/>
              <w:right w:val="single" w:color="auto" w:sz="4" w:space="0"/>
            </w:tcBorders>
            <w:vAlign w:val="center"/>
          </w:tcPr>
          <w:p w14:paraId="20819D4E">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0" w:type="auto"/>
            <w:tcBorders>
              <w:top w:val="single" w:color="auto" w:sz="4" w:space="0"/>
              <w:bottom w:val="single" w:color="auto" w:sz="4" w:space="0"/>
              <w:right w:val="single" w:color="auto" w:sz="4" w:space="0"/>
            </w:tcBorders>
          </w:tcPr>
          <w:p w14:paraId="6FE6E2A5">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16473470">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0F07D571">
        <w:tblPrEx>
          <w:tblCellMar>
            <w:top w:w="0" w:type="dxa"/>
            <w:left w:w="108" w:type="dxa"/>
            <w:bottom w:w="0" w:type="dxa"/>
            <w:right w:w="108" w:type="dxa"/>
          </w:tblCellMar>
        </w:tblPrEx>
        <w:trPr>
          <w:trHeight w:val="1271" w:hRule="atLeast"/>
          <w:jc w:val="center"/>
        </w:trPr>
        <w:tc>
          <w:tcPr>
            <w:tcW w:w="0" w:type="auto"/>
            <w:vMerge w:val="restart"/>
            <w:tcBorders>
              <w:top w:val="nil"/>
              <w:left w:val="single" w:color="auto" w:sz="4" w:space="0"/>
              <w:right w:val="single" w:color="auto" w:sz="4" w:space="0"/>
            </w:tcBorders>
            <w:vAlign w:val="center"/>
          </w:tcPr>
          <w:p w14:paraId="147A743E">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0" w:type="auto"/>
            <w:vMerge w:val="restart"/>
            <w:tcBorders>
              <w:top w:val="nil"/>
              <w:left w:val="nil"/>
              <w:right w:val="single" w:color="auto" w:sz="4" w:space="0"/>
            </w:tcBorders>
            <w:vAlign w:val="center"/>
          </w:tcPr>
          <w:p w14:paraId="0D0FC073">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重补剂</w:t>
            </w:r>
          </w:p>
        </w:tc>
        <w:tc>
          <w:tcPr>
            <w:tcW w:w="0" w:type="auto"/>
            <w:tcBorders>
              <w:top w:val="nil"/>
              <w:left w:val="nil"/>
              <w:bottom w:val="single" w:color="auto" w:sz="4" w:space="0"/>
              <w:right w:val="single" w:color="auto" w:sz="4" w:space="0"/>
            </w:tcBorders>
            <w:vAlign w:val="center"/>
          </w:tcPr>
          <w:p w14:paraId="4A12CE5F">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 99%</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主成分含量≥99%，水不溶物≤0.05%，重金属（以Pb计）≤10mg/kg（需明确主成分化学名称，如碳酸钠？）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4A87360C">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50AC60AA">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0785E049">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41E40665">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0" w:type="auto"/>
            <w:tcBorders>
              <w:top w:val="nil"/>
              <w:left w:val="nil"/>
              <w:bottom w:val="single" w:color="auto" w:sz="4" w:space="0"/>
              <w:right w:val="single" w:color="auto" w:sz="4" w:space="0"/>
            </w:tcBorders>
            <w:vAlign w:val="center"/>
          </w:tcPr>
          <w:p w14:paraId="422BF07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47F4151B">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3F3A0720">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352E14E0">
        <w:tblPrEx>
          <w:tblCellMar>
            <w:top w:w="0" w:type="dxa"/>
            <w:left w:w="108" w:type="dxa"/>
            <w:bottom w:w="0" w:type="dxa"/>
            <w:right w:w="108" w:type="dxa"/>
          </w:tblCellMar>
        </w:tblPrEx>
        <w:trPr>
          <w:trHeight w:val="1433" w:hRule="atLeast"/>
          <w:jc w:val="center"/>
        </w:trPr>
        <w:tc>
          <w:tcPr>
            <w:tcW w:w="0" w:type="auto"/>
            <w:vMerge w:val="continue"/>
            <w:tcBorders>
              <w:left w:val="single" w:color="auto" w:sz="4" w:space="0"/>
              <w:right w:val="single" w:color="auto" w:sz="4" w:space="0"/>
            </w:tcBorders>
            <w:vAlign w:val="center"/>
          </w:tcPr>
          <w:p w14:paraId="192F9CA3">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right w:val="single" w:color="auto" w:sz="4" w:space="0"/>
            </w:tcBorders>
            <w:vAlign w:val="center"/>
          </w:tcPr>
          <w:p w14:paraId="6B83808A">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3F915F2D">
            <w:pPr>
              <w:widowControl/>
              <w:adjustRightInd w:val="0"/>
              <w:snapToGrid w:val="0"/>
              <w:spacing w:line="2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含量≥40%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有效成分含量≥40%，密度（20℃）1.2-1.4 g/cm³，pH值 7-9（需明确主成分化学名称）</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3225995D">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64387553">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single" w:color="auto" w:sz="4" w:space="0"/>
              <w:bottom w:val="single" w:color="auto" w:sz="4" w:space="0"/>
            </w:tcBorders>
          </w:tcPr>
          <w:p w14:paraId="11AC5F8F">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single" w:color="auto" w:sz="4" w:space="0"/>
              <w:bottom w:val="single" w:color="auto" w:sz="4" w:space="0"/>
              <w:right w:val="single" w:color="auto" w:sz="4" w:space="0"/>
            </w:tcBorders>
            <w:vAlign w:val="center"/>
          </w:tcPr>
          <w:p w14:paraId="5F3A087F">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0" w:type="auto"/>
            <w:tcBorders>
              <w:top w:val="nil"/>
              <w:left w:val="nil"/>
              <w:bottom w:val="single" w:color="auto" w:sz="4" w:space="0"/>
              <w:right w:val="single" w:color="auto" w:sz="4" w:space="0"/>
            </w:tcBorders>
            <w:vAlign w:val="center"/>
          </w:tcPr>
          <w:p w14:paraId="68D05637">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0" w:type="auto"/>
            <w:tcBorders>
              <w:top w:val="single" w:color="auto" w:sz="4" w:space="0"/>
              <w:bottom w:val="single" w:color="auto" w:sz="4" w:space="0"/>
              <w:right w:val="single" w:color="auto" w:sz="4" w:space="0"/>
            </w:tcBorders>
          </w:tcPr>
          <w:p w14:paraId="6030B7F2">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0B8B0DB8">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120F06F3">
        <w:tblPrEx>
          <w:tblCellMar>
            <w:top w:w="0" w:type="dxa"/>
            <w:left w:w="108" w:type="dxa"/>
            <w:bottom w:w="0" w:type="dxa"/>
            <w:right w:w="108" w:type="dxa"/>
          </w:tblCellMar>
        </w:tblPrEx>
        <w:trPr>
          <w:trHeight w:val="1355" w:hRule="atLeast"/>
          <w:jc w:val="center"/>
        </w:trPr>
        <w:tc>
          <w:tcPr>
            <w:tcW w:w="0" w:type="auto"/>
            <w:vMerge w:val="continue"/>
            <w:tcBorders>
              <w:left w:val="single" w:color="auto" w:sz="4" w:space="0"/>
              <w:bottom w:val="single" w:color="auto" w:sz="4" w:space="0"/>
              <w:right w:val="single" w:color="auto" w:sz="4" w:space="0"/>
            </w:tcBorders>
            <w:vAlign w:val="center"/>
          </w:tcPr>
          <w:p w14:paraId="74747ACF">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6E833DB6">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nil"/>
              <w:bottom w:val="single" w:color="auto" w:sz="4" w:space="0"/>
              <w:right w:val="single" w:color="auto" w:sz="4" w:space="0"/>
            </w:tcBorders>
            <w:vAlign w:val="center"/>
          </w:tcPr>
          <w:p w14:paraId="55C6CB80">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固含量≥15%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固含量≥15%，粘度（25℃）≤50mPa·s，pH值 6-8（需明确固体成分）</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79625279">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62C858FF">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single" w:color="auto" w:sz="4" w:space="0"/>
              <w:bottom w:val="single" w:color="auto" w:sz="4" w:space="0"/>
            </w:tcBorders>
          </w:tcPr>
          <w:p w14:paraId="0B1AFB80">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single" w:color="auto" w:sz="4" w:space="0"/>
              <w:bottom w:val="single" w:color="auto" w:sz="4" w:space="0"/>
              <w:right w:val="single" w:color="auto" w:sz="4" w:space="0"/>
            </w:tcBorders>
            <w:vAlign w:val="center"/>
          </w:tcPr>
          <w:p w14:paraId="469F6A3E">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0" w:type="auto"/>
            <w:tcBorders>
              <w:top w:val="nil"/>
              <w:left w:val="nil"/>
              <w:bottom w:val="single" w:color="auto" w:sz="4" w:space="0"/>
              <w:right w:val="single" w:color="auto" w:sz="4" w:space="0"/>
            </w:tcBorders>
            <w:vAlign w:val="center"/>
          </w:tcPr>
          <w:p w14:paraId="2A69F0AD">
            <w:pPr>
              <w:widowControl/>
              <w:adjustRightInd w:val="0"/>
              <w:snapToGrid w:val="0"/>
              <w:spacing w:line="28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0" w:type="auto"/>
            <w:tcBorders>
              <w:top w:val="single" w:color="auto" w:sz="4" w:space="0"/>
              <w:bottom w:val="single" w:color="auto" w:sz="4" w:space="0"/>
              <w:right w:val="single" w:color="auto" w:sz="4" w:space="0"/>
            </w:tcBorders>
          </w:tcPr>
          <w:p w14:paraId="65CC333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F3F16C">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5352CCEA">
        <w:tblPrEx>
          <w:tblCellMar>
            <w:top w:w="0" w:type="dxa"/>
            <w:left w:w="108" w:type="dxa"/>
            <w:bottom w:w="0" w:type="dxa"/>
            <w:right w:w="108" w:type="dxa"/>
          </w:tblCellMar>
        </w:tblPrEx>
        <w:trPr>
          <w:trHeight w:val="1622" w:hRule="atLeast"/>
          <w:jc w:val="center"/>
        </w:trPr>
        <w:tc>
          <w:tcPr>
            <w:tcW w:w="0" w:type="auto"/>
            <w:vMerge w:val="restart"/>
            <w:tcBorders>
              <w:top w:val="nil"/>
              <w:left w:val="single" w:color="auto" w:sz="4" w:space="0"/>
              <w:right w:val="single" w:color="auto" w:sz="4" w:space="0"/>
            </w:tcBorders>
            <w:vAlign w:val="center"/>
          </w:tcPr>
          <w:p w14:paraId="72BE4B0D">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0" w:type="auto"/>
            <w:vMerge w:val="restart"/>
            <w:tcBorders>
              <w:top w:val="nil"/>
              <w:left w:val="nil"/>
              <w:right w:val="single" w:color="auto" w:sz="4" w:space="0"/>
            </w:tcBorders>
            <w:vAlign w:val="center"/>
          </w:tcPr>
          <w:p w14:paraId="34B24D8D">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除氟剂</w:t>
            </w:r>
          </w:p>
        </w:tc>
        <w:tc>
          <w:tcPr>
            <w:tcW w:w="0" w:type="auto"/>
            <w:tcBorders>
              <w:top w:val="nil"/>
              <w:left w:val="nil"/>
              <w:bottom w:val="single" w:color="auto" w:sz="4" w:space="0"/>
              <w:right w:val="single" w:color="auto" w:sz="4" w:space="0"/>
            </w:tcBorders>
            <w:vAlign w:val="center"/>
          </w:tcPr>
          <w:p w14:paraId="2C034CC6">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含量≥16%</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有效成分（如Al</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₃</w:t>
            </w:r>
            <w:r>
              <w:rPr>
                <w:rFonts w:ascii="宋体" w:hAnsi="宋体" w:cs="宋体"/>
                <w:color w:val="000000"/>
                <w:szCs w:val="21"/>
                <w:highlight w:val="none"/>
              </w:rPr>
              <w:t>或CaO等，需明确）含量≥16%，除氟效率≥95%（特定条件下），pH适用范围 5-10</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5CBAA0B3">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07D640FC">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6861AE2B">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49CB58B9">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0.5</w:t>
            </w:r>
          </w:p>
        </w:tc>
        <w:tc>
          <w:tcPr>
            <w:tcW w:w="0" w:type="auto"/>
            <w:tcBorders>
              <w:top w:val="nil"/>
              <w:left w:val="nil"/>
              <w:bottom w:val="single" w:color="auto" w:sz="4" w:space="0"/>
              <w:right w:val="single" w:color="auto" w:sz="4" w:space="0"/>
            </w:tcBorders>
            <w:vAlign w:val="center"/>
          </w:tcPr>
          <w:p w14:paraId="59DB3881">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67BA9D9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0647F609">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7BC14017">
        <w:tblPrEx>
          <w:tblCellMar>
            <w:top w:w="0" w:type="dxa"/>
            <w:left w:w="108" w:type="dxa"/>
            <w:bottom w:w="0" w:type="dxa"/>
            <w:right w:w="108" w:type="dxa"/>
          </w:tblCellMar>
        </w:tblPrEx>
        <w:trPr>
          <w:trHeight w:val="1118" w:hRule="atLeast"/>
          <w:jc w:val="center"/>
        </w:trPr>
        <w:tc>
          <w:tcPr>
            <w:tcW w:w="0" w:type="auto"/>
            <w:vMerge w:val="continue"/>
            <w:tcBorders>
              <w:left w:val="single" w:color="auto" w:sz="4" w:space="0"/>
              <w:bottom w:val="single" w:color="auto" w:sz="4" w:space="0"/>
              <w:right w:val="single" w:color="auto" w:sz="4" w:space="0"/>
            </w:tcBorders>
            <w:vAlign w:val="center"/>
          </w:tcPr>
          <w:p w14:paraId="3995E7F8">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4FBC69BD">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nil"/>
              <w:bottom w:val="single" w:color="auto" w:sz="4" w:space="0"/>
              <w:right w:val="single" w:color="auto" w:sz="4" w:space="0"/>
            </w:tcBorders>
            <w:vAlign w:val="center"/>
          </w:tcPr>
          <w:p w14:paraId="2A21D296">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含量≥8%</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有效成分含量≥8%，密度（20℃）1.1-1.3 g/cm³</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7C1C3595">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70170A1B">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single" w:color="auto" w:sz="4" w:space="0"/>
              <w:bottom w:val="single" w:color="auto" w:sz="4" w:space="0"/>
            </w:tcBorders>
          </w:tcPr>
          <w:p w14:paraId="77789ACC">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tcBorders>
              <w:top w:val="nil"/>
              <w:left w:val="single" w:color="auto" w:sz="4" w:space="0"/>
              <w:bottom w:val="single" w:color="auto" w:sz="4" w:space="0"/>
              <w:right w:val="single" w:color="auto" w:sz="4" w:space="0"/>
            </w:tcBorders>
            <w:vAlign w:val="center"/>
          </w:tcPr>
          <w:p w14:paraId="61D38CF2">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kern w:val="0"/>
                <w:szCs w:val="21"/>
                <w:highlight w:val="none"/>
              </w:rPr>
              <w:t>0.5</w:t>
            </w:r>
          </w:p>
        </w:tc>
        <w:tc>
          <w:tcPr>
            <w:tcW w:w="0" w:type="auto"/>
            <w:tcBorders>
              <w:top w:val="nil"/>
              <w:left w:val="nil"/>
              <w:bottom w:val="single" w:color="auto" w:sz="4" w:space="0"/>
              <w:right w:val="single" w:color="auto" w:sz="4" w:space="0"/>
            </w:tcBorders>
            <w:vAlign w:val="center"/>
          </w:tcPr>
          <w:p w14:paraId="54F03161">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3067BE0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7991D82C">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0612CBDF">
        <w:tblPrEx>
          <w:tblCellMar>
            <w:top w:w="0" w:type="dxa"/>
            <w:left w:w="108" w:type="dxa"/>
            <w:bottom w:w="0" w:type="dxa"/>
            <w:right w:w="108" w:type="dxa"/>
          </w:tblCellMar>
        </w:tblPrEx>
        <w:trPr>
          <w:trHeight w:val="1365" w:hRule="atLeast"/>
          <w:jc w:val="center"/>
        </w:trPr>
        <w:tc>
          <w:tcPr>
            <w:tcW w:w="0" w:type="auto"/>
            <w:vMerge w:val="restart"/>
            <w:tcBorders>
              <w:top w:val="nil"/>
              <w:left w:val="single" w:color="auto" w:sz="4" w:space="0"/>
              <w:right w:val="single" w:color="auto" w:sz="4" w:space="0"/>
            </w:tcBorders>
            <w:vAlign w:val="center"/>
          </w:tcPr>
          <w:p w14:paraId="1996F9C5">
            <w:pPr>
              <w:widowControl/>
              <w:adjustRightInd w:val="0"/>
              <w:snapToGrid w:val="0"/>
              <w:spacing w:line="28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0" w:type="auto"/>
            <w:vMerge w:val="restart"/>
            <w:tcBorders>
              <w:top w:val="nil"/>
              <w:left w:val="nil"/>
              <w:right w:val="single" w:color="auto" w:sz="4" w:space="0"/>
            </w:tcBorders>
            <w:vAlign w:val="center"/>
          </w:tcPr>
          <w:p w14:paraId="546F5220">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除镍剂</w:t>
            </w:r>
          </w:p>
        </w:tc>
        <w:tc>
          <w:tcPr>
            <w:tcW w:w="0" w:type="auto"/>
            <w:tcBorders>
              <w:top w:val="nil"/>
              <w:left w:val="nil"/>
              <w:bottom w:val="single" w:color="auto" w:sz="4" w:space="0"/>
              <w:right w:val="single" w:color="auto" w:sz="4" w:space="0"/>
            </w:tcBorders>
            <w:vAlign w:val="center"/>
          </w:tcPr>
          <w:p w14:paraId="606C4E5D">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 99%</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主成分含量≥99%，镍去除率≥99.5%，适用pH范围 3-1</w:t>
            </w:r>
          </w:p>
          <w:p w14:paraId="1F592006">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42DD0701">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5FAD7CD5">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24A22E6B">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D204BD">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0" w:type="auto"/>
            <w:tcBorders>
              <w:top w:val="nil"/>
              <w:left w:val="nil"/>
              <w:bottom w:val="single" w:color="auto" w:sz="4" w:space="0"/>
              <w:right w:val="single" w:color="auto" w:sz="4" w:space="0"/>
            </w:tcBorders>
            <w:vAlign w:val="center"/>
          </w:tcPr>
          <w:p w14:paraId="0EB1447A">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5C863284">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170FA96D">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5C064223">
        <w:tblPrEx>
          <w:tblCellMar>
            <w:top w:w="0" w:type="dxa"/>
            <w:left w:w="108" w:type="dxa"/>
            <w:bottom w:w="0" w:type="dxa"/>
            <w:right w:w="108" w:type="dxa"/>
          </w:tblCellMar>
        </w:tblPrEx>
        <w:trPr>
          <w:trHeight w:val="1235" w:hRule="atLeast"/>
          <w:jc w:val="center"/>
        </w:trPr>
        <w:tc>
          <w:tcPr>
            <w:tcW w:w="0" w:type="auto"/>
            <w:vMerge w:val="continue"/>
            <w:tcBorders>
              <w:left w:val="single" w:color="auto" w:sz="4" w:space="0"/>
              <w:right w:val="single" w:color="auto" w:sz="4" w:space="0"/>
            </w:tcBorders>
            <w:vAlign w:val="center"/>
          </w:tcPr>
          <w:p w14:paraId="406129BB">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right w:val="single" w:color="auto" w:sz="4" w:space="0"/>
            </w:tcBorders>
            <w:vAlign w:val="center"/>
          </w:tcPr>
          <w:p w14:paraId="55456139">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nil"/>
              <w:bottom w:val="single" w:color="auto" w:sz="4" w:space="0"/>
              <w:right w:val="single" w:color="auto" w:sz="4" w:space="0"/>
            </w:tcBorders>
            <w:vAlign w:val="center"/>
          </w:tcPr>
          <w:p w14:paraId="11C87601">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含量≥40%</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有效成分含量≥40%，密度（20℃）1.2-1.4 g/cm³</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45A666A0">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709105F1">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76FED818">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AD2EFA9">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0" w:type="auto"/>
            <w:tcBorders>
              <w:top w:val="nil"/>
              <w:left w:val="nil"/>
              <w:bottom w:val="single" w:color="auto" w:sz="4" w:space="0"/>
              <w:right w:val="single" w:color="auto" w:sz="4" w:space="0"/>
            </w:tcBorders>
            <w:vAlign w:val="center"/>
          </w:tcPr>
          <w:p w14:paraId="5C7B89CF">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79B48E37">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168488D4">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5C56D9A2">
        <w:tblPrEx>
          <w:tblCellMar>
            <w:top w:w="0" w:type="dxa"/>
            <w:left w:w="108" w:type="dxa"/>
            <w:bottom w:w="0" w:type="dxa"/>
            <w:right w:w="108" w:type="dxa"/>
          </w:tblCellMar>
        </w:tblPrEx>
        <w:trPr>
          <w:trHeight w:val="1238" w:hRule="atLeast"/>
          <w:jc w:val="center"/>
        </w:trPr>
        <w:tc>
          <w:tcPr>
            <w:tcW w:w="0" w:type="auto"/>
            <w:vMerge w:val="continue"/>
            <w:tcBorders>
              <w:left w:val="single" w:color="auto" w:sz="4" w:space="0"/>
              <w:bottom w:val="single" w:color="auto" w:sz="4" w:space="0"/>
              <w:right w:val="single" w:color="auto" w:sz="4" w:space="0"/>
            </w:tcBorders>
            <w:vAlign w:val="center"/>
          </w:tcPr>
          <w:p w14:paraId="47658834">
            <w:pPr>
              <w:widowControl/>
              <w:adjustRightInd w:val="0"/>
              <w:snapToGrid w:val="0"/>
              <w:spacing w:line="280" w:lineRule="exact"/>
              <w:jc w:val="center"/>
              <w:rPr>
                <w:rFonts w:hint="eastAsia" w:ascii="宋体" w:hAnsi="宋体" w:cs="宋体"/>
                <w:color w:val="000000"/>
                <w:kern w:val="0"/>
                <w:szCs w:val="21"/>
                <w:highlight w:val="none"/>
              </w:rPr>
            </w:pPr>
          </w:p>
        </w:tc>
        <w:tc>
          <w:tcPr>
            <w:tcW w:w="0" w:type="auto"/>
            <w:vMerge w:val="continue"/>
            <w:tcBorders>
              <w:left w:val="nil"/>
              <w:bottom w:val="single" w:color="auto" w:sz="4" w:space="0"/>
              <w:right w:val="single" w:color="auto" w:sz="4" w:space="0"/>
            </w:tcBorders>
            <w:vAlign w:val="center"/>
          </w:tcPr>
          <w:p w14:paraId="65E2BE57">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nil"/>
              <w:bottom w:val="single" w:color="auto" w:sz="4" w:space="0"/>
              <w:right w:val="single" w:color="auto" w:sz="4" w:space="0"/>
            </w:tcBorders>
            <w:vAlign w:val="center"/>
          </w:tcPr>
          <w:p w14:paraId="1E071EF2">
            <w:pPr>
              <w:widowControl/>
              <w:adjustRightInd w:val="0"/>
              <w:snapToGrid w:val="0"/>
              <w:spacing w:line="280" w:lineRule="exac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固含量≥15%</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固含量≥15%，镍去除率≥99%</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40889C63">
            <w:pPr>
              <w:pStyle w:val="2"/>
              <w:widowControl/>
              <w:adjustRightInd w:val="0"/>
              <w:snapToGrid w:val="0"/>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0" w:type="auto"/>
            <w:tcBorders>
              <w:top w:val="single" w:color="auto" w:sz="4" w:space="0"/>
              <w:bottom w:val="single" w:color="auto" w:sz="4" w:space="0"/>
              <w:right w:val="single" w:color="auto" w:sz="4" w:space="0"/>
            </w:tcBorders>
          </w:tcPr>
          <w:p w14:paraId="1E929D5F">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single" w:color="auto" w:sz="4" w:space="0"/>
              <w:bottom w:val="single" w:color="auto" w:sz="4" w:space="0"/>
            </w:tcBorders>
          </w:tcPr>
          <w:p w14:paraId="622581A8">
            <w:pPr>
              <w:widowControl/>
              <w:adjustRightInd w:val="0"/>
              <w:snapToGrid w:val="0"/>
              <w:spacing w:line="280" w:lineRule="exact"/>
              <w:jc w:val="center"/>
              <w:rPr>
                <w:rFonts w:hint="eastAsia" w:ascii="宋体" w:hAnsi="宋体" w:cs="宋体"/>
                <w:color w:val="000000"/>
                <w:szCs w:val="21"/>
                <w:highlight w:val="none"/>
              </w:rPr>
            </w:pPr>
          </w:p>
        </w:tc>
        <w:tc>
          <w:tcPr>
            <w:tcW w:w="0" w:type="auto"/>
            <w:tcBorders>
              <w:top w:val="nil"/>
              <w:left w:val="single" w:color="auto" w:sz="4" w:space="0"/>
              <w:bottom w:val="single" w:color="auto" w:sz="4" w:space="0"/>
              <w:right w:val="single" w:color="auto" w:sz="4" w:space="0"/>
            </w:tcBorders>
            <w:vAlign w:val="center"/>
          </w:tcPr>
          <w:p w14:paraId="30E64D96">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0" w:type="auto"/>
            <w:tcBorders>
              <w:top w:val="nil"/>
              <w:left w:val="nil"/>
              <w:bottom w:val="single" w:color="auto" w:sz="4" w:space="0"/>
              <w:right w:val="single" w:color="auto" w:sz="4" w:space="0"/>
            </w:tcBorders>
            <w:vAlign w:val="center"/>
          </w:tcPr>
          <w:p w14:paraId="06354419">
            <w:pPr>
              <w:widowControl/>
              <w:adjustRightInd w:val="0"/>
              <w:snapToGrid w:val="0"/>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tcBorders>
              <w:top w:val="single" w:color="auto" w:sz="4" w:space="0"/>
              <w:bottom w:val="single" w:color="auto" w:sz="4" w:space="0"/>
              <w:right w:val="single" w:color="auto" w:sz="4" w:space="0"/>
            </w:tcBorders>
          </w:tcPr>
          <w:p w14:paraId="1B16D9A2">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c>
          <w:tcPr>
            <w:tcW w:w="0" w:type="auto"/>
            <w:tcBorders>
              <w:top w:val="nil"/>
              <w:left w:val="single" w:color="auto" w:sz="4" w:space="0"/>
              <w:bottom w:val="single" w:color="auto" w:sz="4" w:space="0"/>
              <w:right w:val="single" w:color="auto" w:sz="4" w:space="0"/>
            </w:tcBorders>
            <w:noWrap/>
            <w:vAlign w:val="center"/>
          </w:tcPr>
          <w:p w14:paraId="2AB310EC">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r w14:paraId="0E339A76">
        <w:tblPrEx>
          <w:tblCellMar>
            <w:top w:w="0" w:type="dxa"/>
            <w:left w:w="108" w:type="dxa"/>
            <w:bottom w:w="0" w:type="dxa"/>
            <w:right w:w="108" w:type="dxa"/>
          </w:tblCellMar>
        </w:tblPrEx>
        <w:trPr>
          <w:trHeight w:val="523" w:hRule="atLeast"/>
          <w:jc w:val="center"/>
        </w:trPr>
        <w:tc>
          <w:tcPr>
            <w:tcW w:w="0" w:type="auto"/>
            <w:gridSpan w:val="8"/>
            <w:tcBorders>
              <w:top w:val="nil"/>
              <w:left w:val="single" w:color="auto" w:sz="4" w:space="0"/>
              <w:bottom w:val="single" w:color="auto" w:sz="4" w:space="0"/>
              <w:right w:val="single" w:color="auto" w:sz="4" w:space="0"/>
            </w:tcBorders>
            <w:vAlign w:val="center"/>
          </w:tcPr>
          <w:p w14:paraId="4EE2E77B">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r>
              <w:rPr>
                <w:rFonts w:hint="eastAsia" w:ascii="宋体" w:hAnsi="宋体" w:cs="宋体"/>
                <w:color w:val="000000"/>
                <w:kern w:val="0"/>
                <w:szCs w:val="21"/>
                <w:highlight w:val="none"/>
              </w:rPr>
              <w:t>合计（元）</w:t>
            </w:r>
          </w:p>
        </w:tc>
        <w:tc>
          <w:tcPr>
            <w:tcW w:w="0" w:type="auto"/>
            <w:tcBorders>
              <w:top w:val="nil"/>
              <w:left w:val="single" w:color="auto" w:sz="4" w:space="0"/>
              <w:bottom w:val="single" w:color="auto" w:sz="4" w:space="0"/>
              <w:right w:val="single" w:color="auto" w:sz="4" w:space="0"/>
            </w:tcBorders>
            <w:noWrap/>
            <w:vAlign w:val="center"/>
          </w:tcPr>
          <w:p w14:paraId="69AB9F02">
            <w:pPr>
              <w:widowControl/>
              <w:adjustRightInd w:val="0"/>
              <w:snapToGrid w:val="0"/>
              <w:spacing w:line="280" w:lineRule="exact"/>
              <w:jc w:val="center"/>
              <w:rPr>
                <w:rFonts w:hint="eastAsia" w:ascii="宋体" w:hAnsi="宋体" w:cs="宋体"/>
                <w:color w:val="948A54" w:themeColor="background2" w:themeShade="80"/>
                <w:kern w:val="0"/>
                <w:szCs w:val="21"/>
                <w:highlight w:val="none"/>
                <w:shd w:val="pct15" w:color="auto" w:fill="FFFFFF"/>
              </w:rPr>
            </w:pPr>
          </w:p>
        </w:tc>
      </w:tr>
    </w:tbl>
    <w:p w14:paraId="3A3699B9">
      <w:pPr>
        <w:jc w:val="center"/>
      </w:pPr>
    </w:p>
    <w:p w14:paraId="4D112241"/>
    <w:p w14:paraId="255BFB1F">
      <w:pPr>
        <w:spacing w:line="280" w:lineRule="exact"/>
        <w:rPr>
          <w:szCs w:val="21"/>
        </w:rPr>
      </w:pPr>
      <w:r>
        <w:rPr>
          <w:szCs w:val="21"/>
        </w:rPr>
        <w:t>法定代表人或代理人（签字或盖章）：</w:t>
      </w:r>
    </w:p>
    <w:p w14:paraId="54BD9021">
      <w:pPr>
        <w:pStyle w:val="39"/>
        <w:rPr>
          <w:rFonts w:ascii="Times New Roman" w:cs="Times New Roman"/>
          <w:szCs w:val="21"/>
        </w:rPr>
      </w:pPr>
    </w:p>
    <w:p w14:paraId="074F20DA">
      <w:pPr>
        <w:pStyle w:val="7"/>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3CA284CE">
      <w:pPr>
        <w:rPr>
          <w:szCs w:val="21"/>
        </w:rPr>
        <w:sectPr>
          <w:pgSz w:w="16838" w:h="11906" w:orient="landscape"/>
          <w:pgMar w:top="1440" w:right="1440" w:bottom="1440" w:left="1440" w:header="851" w:footer="992" w:gutter="0"/>
          <w:cols w:space="0" w:num="1"/>
          <w:docGrid w:linePitch="326" w:charSpace="0"/>
        </w:sectPr>
      </w:pPr>
      <w:r>
        <w:rPr>
          <w:szCs w:val="21"/>
        </w:rPr>
        <w:t xml:space="preserve">   </w:t>
      </w:r>
    </w:p>
    <w:p w14:paraId="3E16A100">
      <w:pPr>
        <w:pStyle w:val="7"/>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052B6455">
      <w:pPr>
        <w:pStyle w:val="7"/>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6CB4C780">
      <w:pPr>
        <w:pStyle w:val="7"/>
        <w:overflowPunct w:val="0"/>
        <w:spacing w:line="500" w:lineRule="exact"/>
        <w:jc w:val="center"/>
        <w:rPr>
          <w:rFonts w:ascii="Times New Roman"/>
          <w:color w:val="000000"/>
        </w:rPr>
      </w:pPr>
    </w:p>
    <w:p w14:paraId="6E56634C">
      <w:pPr>
        <w:adjustRightInd w:val="0"/>
        <w:snapToGrid w:val="0"/>
        <w:spacing w:line="460" w:lineRule="exact"/>
        <w:rPr>
          <w:sz w:val="24"/>
          <w:u w:val="single"/>
        </w:rPr>
      </w:pPr>
      <w:r>
        <w:rPr>
          <w:rFonts w:hint="eastAsia"/>
          <w:sz w:val="24"/>
          <w:u w:val="single"/>
        </w:rPr>
        <w:t>江苏中吴常高新环保产业有限公司：</w:t>
      </w:r>
    </w:p>
    <w:p w14:paraId="032C46BC">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54A251F8">
      <w:pPr>
        <w:pStyle w:val="7"/>
        <w:overflowPunct w:val="0"/>
        <w:spacing w:line="500" w:lineRule="exact"/>
        <w:ind w:firstLine="660"/>
        <w:rPr>
          <w:rFonts w:ascii="Times New Roman"/>
          <w:color w:val="000000"/>
        </w:rPr>
      </w:pPr>
    </w:p>
    <w:p w14:paraId="722F6F5C">
      <w:pPr>
        <w:pStyle w:val="7"/>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0D00C38">
      <w:pPr>
        <w:spacing w:line="360" w:lineRule="auto"/>
        <w:ind w:firstLine="480" w:firstLineChars="200"/>
        <w:rPr>
          <w:rFonts w:hint="eastAsia" w:ascii="宋体" w:hAnsi="宋体" w:cs="宋体"/>
          <w:sz w:val="24"/>
        </w:rPr>
      </w:pPr>
      <w:r>
        <w:rPr>
          <w:rFonts w:hint="eastAsia" w:ascii="宋体" w:hAnsi="宋体" w:cs="宋体"/>
          <w:sz w:val="24"/>
        </w:rPr>
        <w:t xml:space="preserve">1. 具有独立承担民事责任的能力； </w:t>
      </w:r>
    </w:p>
    <w:p w14:paraId="6871741E">
      <w:pPr>
        <w:spacing w:line="360" w:lineRule="auto"/>
        <w:ind w:firstLine="480" w:firstLineChars="200"/>
        <w:rPr>
          <w:rFonts w:hint="eastAsia" w:ascii="宋体" w:hAnsi="宋体" w:cs="宋体"/>
          <w:sz w:val="24"/>
        </w:rPr>
      </w:pPr>
      <w:r>
        <w:rPr>
          <w:rFonts w:hint="eastAsia" w:ascii="宋体" w:hAnsi="宋体" w:cs="宋体"/>
          <w:sz w:val="24"/>
        </w:rPr>
        <w:t xml:space="preserve">2. 具有良好的商业信誉和健全的财务会计制度； </w:t>
      </w:r>
    </w:p>
    <w:p w14:paraId="63809071">
      <w:pPr>
        <w:spacing w:line="360" w:lineRule="auto"/>
        <w:ind w:firstLine="480" w:firstLineChars="200"/>
        <w:rPr>
          <w:rFonts w:hint="eastAsia" w:ascii="宋体" w:hAnsi="宋体" w:cs="宋体"/>
          <w:sz w:val="24"/>
        </w:rPr>
      </w:pPr>
      <w:r>
        <w:rPr>
          <w:rFonts w:hint="eastAsia" w:ascii="宋体" w:hAnsi="宋体" w:cs="宋体"/>
          <w:sz w:val="24"/>
        </w:rPr>
        <w:t xml:space="preserve">3. 具有履行合同所必须的设备和专业技术能力； </w:t>
      </w:r>
    </w:p>
    <w:p w14:paraId="56322E51">
      <w:pPr>
        <w:spacing w:line="360" w:lineRule="auto"/>
        <w:ind w:firstLine="480" w:firstLineChars="200"/>
        <w:rPr>
          <w:rFonts w:hint="eastAsia" w:ascii="宋体" w:hAnsi="宋体" w:cs="宋体"/>
          <w:sz w:val="24"/>
        </w:rPr>
      </w:pPr>
      <w:r>
        <w:rPr>
          <w:rFonts w:hint="eastAsia" w:ascii="宋体" w:hAnsi="宋体" w:cs="宋体"/>
          <w:sz w:val="24"/>
        </w:rPr>
        <w:t xml:space="preserve">4. 有依法缴纳税收和社会保障资金的良好记录； </w:t>
      </w:r>
    </w:p>
    <w:p w14:paraId="5E27CF83">
      <w:pPr>
        <w:spacing w:line="360" w:lineRule="auto"/>
        <w:ind w:firstLine="480" w:firstLineChars="200"/>
        <w:rPr>
          <w:rFonts w:hint="eastAsia" w:ascii="宋体" w:hAnsi="宋体" w:cs="宋体"/>
          <w:sz w:val="24"/>
        </w:rPr>
      </w:pPr>
      <w:r>
        <w:rPr>
          <w:rFonts w:hint="eastAsia" w:ascii="宋体" w:hAnsi="宋体" w:cs="宋体"/>
          <w:sz w:val="24"/>
        </w:rPr>
        <w:t>5. 参加政府采购活动前三年内，在经营活动中没有重大违法记录；</w:t>
      </w:r>
    </w:p>
    <w:p w14:paraId="3850B89F">
      <w:pPr>
        <w:spacing w:line="360" w:lineRule="auto"/>
        <w:ind w:firstLine="480" w:firstLineChars="200"/>
        <w:rPr>
          <w:rFonts w:hint="eastAsia" w:ascii="宋体" w:hAnsi="宋体" w:cs="宋体"/>
          <w:sz w:val="24"/>
        </w:rPr>
      </w:pPr>
      <w:r>
        <w:rPr>
          <w:rFonts w:hint="eastAsia" w:ascii="宋体" w:hAnsi="宋体" w:cs="宋体"/>
          <w:sz w:val="24"/>
        </w:rPr>
        <w:t>6. 法律、行政法规规定的其他条件</w:t>
      </w:r>
    </w:p>
    <w:p w14:paraId="0BC7720C">
      <w:pPr>
        <w:spacing w:line="360" w:lineRule="auto"/>
        <w:ind w:firstLine="480" w:firstLineChars="200"/>
        <w:rPr>
          <w:rFonts w:hint="eastAsia" w:ascii="宋体" w:hAnsi="宋体" w:cs="宋体"/>
          <w:sz w:val="24"/>
        </w:rPr>
      </w:pPr>
      <w:r>
        <w:rPr>
          <w:rFonts w:hint="eastAsia" w:ascii="宋体" w:hAnsi="宋体" w:cs="宋体"/>
          <w:sz w:val="24"/>
        </w:rPr>
        <w:t>7. 本公司提交的投标文件中所有关于供应商资格的文件、证明和陈述均是真实的、准确的。</w:t>
      </w:r>
    </w:p>
    <w:p w14:paraId="7D6EF85E">
      <w:pPr>
        <w:spacing w:line="360" w:lineRule="auto"/>
        <w:ind w:firstLine="482" w:firstLineChars="200"/>
        <w:rPr>
          <w:rFonts w:hint="eastAsia" w:ascii="宋体" w:hAnsi="宋体" w:cs="宋体"/>
          <w:b/>
          <w:bCs/>
          <w:sz w:val="24"/>
        </w:rPr>
      </w:pPr>
    </w:p>
    <w:p w14:paraId="253B2F54">
      <w:pPr>
        <w:spacing w:line="360" w:lineRule="auto"/>
        <w:ind w:firstLine="480" w:firstLineChars="200"/>
        <w:rPr>
          <w:rFonts w:hint="eastAsia" w:ascii="宋体" w:hAnsi="宋体" w:cs="宋体"/>
          <w:sz w:val="24"/>
        </w:rPr>
      </w:pPr>
    </w:p>
    <w:p w14:paraId="6A9362AF">
      <w:pPr>
        <w:spacing w:line="360" w:lineRule="auto"/>
        <w:ind w:firstLine="480" w:firstLineChars="200"/>
        <w:rPr>
          <w:rFonts w:hint="eastAsia" w:ascii="宋体" w:hAnsi="宋体" w:cs="宋体"/>
          <w:sz w:val="24"/>
        </w:rPr>
      </w:pPr>
      <w:r>
        <w:rPr>
          <w:rFonts w:hint="eastAsia" w:ascii="宋体" w:hAnsi="宋体" w:cs="宋体"/>
          <w:sz w:val="24"/>
        </w:rPr>
        <w:t>若与真实情况不符，本公司愿意承担由此而产生的一切后果。</w:t>
      </w:r>
    </w:p>
    <w:p w14:paraId="333DC41E">
      <w:pPr>
        <w:pStyle w:val="7"/>
        <w:overflowPunct w:val="0"/>
        <w:spacing w:line="500" w:lineRule="exact"/>
        <w:rPr>
          <w:rFonts w:ascii="Times New Roman"/>
        </w:rPr>
      </w:pPr>
    </w:p>
    <w:p w14:paraId="639985FE">
      <w:pPr>
        <w:pStyle w:val="7"/>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13B64BF9">
      <w:pPr>
        <w:pStyle w:val="7"/>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538D5C1C">
      <w:pPr>
        <w:pStyle w:val="7"/>
        <w:overflowPunct w:val="0"/>
        <w:spacing w:line="500" w:lineRule="exact"/>
        <w:rPr>
          <w:rFonts w:ascii="Times New Roman"/>
        </w:rPr>
      </w:pPr>
      <w:r>
        <w:rPr>
          <w:rFonts w:ascii="Times New Roman"/>
        </w:rPr>
        <w:t xml:space="preserve">               </w:t>
      </w:r>
    </w:p>
    <w:p w14:paraId="7113710A">
      <w:pPr>
        <w:pStyle w:val="7"/>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11E488CB">
      <w:pPr>
        <w:pStyle w:val="7"/>
        <w:overflowPunct w:val="0"/>
        <w:spacing w:line="500" w:lineRule="exact"/>
        <w:ind w:firstLine="0"/>
        <w:rPr>
          <w:rFonts w:ascii="Times New Roman"/>
          <w:b/>
          <w:bCs/>
          <w:color w:val="000000"/>
          <w:sz w:val="32"/>
          <w:szCs w:val="32"/>
        </w:rPr>
      </w:pPr>
    </w:p>
    <w:bookmarkEnd w:id="59"/>
    <w:bookmarkEnd w:id="60"/>
    <w:bookmarkEnd w:id="61"/>
    <w:bookmarkEnd w:id="62"/>
    <w:bookmarkEnd w:id="63"/>
    <w:bookmarkEnd w:id="64"/>
    <w:bookmarkEnd w:id="65"/>
    <w:p w14:paraId="0760867A">
      <w:pPr>
        <w:spacing w:line="360" w:lineRule="exact"/>
        <w:rPr>
          <w:b/>
          <w:bCs/>
          <w:sz w:val="28"/>
          <w:szCs w:val="28"/>
        </w:rPr>
      </w:pPr>
      <w:bookmarkStart w:id="66" w:name="_Toc322436243"/>
      <w:bookmarkStart w:id="67" w:name="_Toc322436008"/>
      <w:bookmarkStart w:id="68" w:name="_Toc330998568"/>
      <w:bookmarkStart w:id="69" w:name="_Toc322436063"/>
      <w:bookmarkStart w:id="70" w:name="_Toc331056456"/>
      <w:bookmarkStart w:id="71" w:name="_Toc331061677"/>
      <w:bookmarkStart w:id="72" w:name="_Toc322435838"/>
    </w:p>
    <w:p w14:paraId="1D13A8AD">
      <w:pPr>
        <w:spacing w:line="360" w:lineRule="exact"/>
        <w:rPr>
          <w:b/>
          <w:bCs/>
          <w:sz w:val="28"/>
          <w:szCs w:val="28"/>
        </w:rPr>
      </w:pPr>
    </w:p>
    <w:p w14:paraId="163AAAB9">
      <w:pPr>
        <w:spacing w:line="360" w:lineRule="exact"/>
        <w:rPr>
          <w:b/>
          <w:bCs/>
          <w:sz w:val="28"/>
          <w:szCs w:val="28"/>
        </w:rPr>
      </w:pPr>
    </w:p>
    <w:p w14:paraId="63B445AF">
      <w:pPr>
        <w:spacing w:line="360" w:lineRule="exact"/>
        <w:rPr>
          <w:b/>
          <w:bCs/>
          <w:sz w:val="28"/>
          <w:szCs w:val="28"/>
        </w:rPr>
      </w:pPr>
    </w:p>
    <w:p w14:paraId="15E2398C">
      <w:pPr>
        <w:spacing w:line="360" w:lineRule="exact"/>
        <w:rPr>
          <w:b/>
          <w:bCs/>
          <w:sz w:val="28"/>
          <w:szCs w:val="28"/>
        </w:rPr>
      </w:pPr>
    </w:p>
    <w:p w14:paraId="22C663B6">
      <w:pPr>
        <w:spacing w:line="360" w:lineRule="exact"/>
        <w:rPr>
          <w:b/>
          <w:sz w:val="28"/>
        </w:rPr>
      </w:pPr>
      <w:r>
        <w:rPr>
          <w:b/>
          <w:bCs/>
          <w:sz w:val="28"/>
          <w:szCs w:val="28"/>
        </w:rPr>
        <w:t>附件</w:t>
      </w:r>
      <w:r>
        <w:rPr>
          <w:rFonts w:hint="eastAsia"/>
          <w:b/>
          <w:bCs/>
          <w:sz w:val="28"/>
          <w:szCs w:val="28"/>
        </w:rPr>
        <w:t>5</w:t>
      </w:r>
      <w:r>
        <w:rPr>
          <w:b/>
          <w:bCs/>
          <w:sz w:val="28"/>
          <w:szCs w:val="28"/>
        </w:rPr>
        <w:t>：</w:t>
      </w:r>
      <w:bookmarkEnd w:id="66"/>
      <w:bookmarkEnd w:id="67"/>
      <w:bookmarkEnd w:id="68"/>
      <w:bookmarkEnd w:id="69"/>
      <w:bookmarkEnd w:id="70"/>
      <w:bookmarkEnd w:id="71"/>
      <w:bookmarkEnd w:id="72"/>
      <w:r>
        <w:rPr>
          <w:b/>
          <w:sz w:val="28"/>
        </w:rPr>
        <w:t>偏离表</w:t>
      </w:r>
    </w:p>
    <w:p w14:paraId="2FEC0B45">
      <w:pPr>
        <w:jc w:val="center"/>
        <w:rPr>
          <w:b/>
          <w:sz w:val="32"/>
          <w:szCs w:val="32"/>
        </w:rPr>
      </w:pPr>
      <w:r>
        <w:rPr>
          <w:b/>
          <w:sz w:val="32"/>
          <w:szCs w:val="32"/>
        </w:rPr>
        <w:t>偏 离 表</w:t>
      </w:r>
    </w:p>
    <w:p w14:paraId="0D791ADB">
      <w:pPr>
        <w:rPr>
          <w:b/>
          <w:sz w:val="28"/>
        </w:rPr>
      </w:pPr>
    </w:p>
    <w:p w14:paraId="7A07ED4A">
      <w:pPr>
        <w:spacing w:line="440" w:lineRule="exact"/>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1D2736C2">
      <w:pPr>
        <w:spacing w:line="440" w:lineRule="exact"/>
        <w:rPr>
          <w:szCs w:val="21"/>
        </w:rPr>
      </w:pPr>
      <w:r>
        <w:rPr>
          <w:szCs w:val="21"/>
        </w:rPr>
        <w:t xml:space="preserve">如无偏离，请在本页上写“无”，并附在投标文件中 。  </w:t>
      </w:r>
    </w:p>
    <w:p w14:paraId="046C6228">
      <w:pPr>
        <w:spacing w:line="440" w:lineRule="exact"/>
        <w:rPr>
          <w:szCs w:val="21"/>
        </w:rPr>
      </w:pPr>
      <w:r>
        <w:rPr>
          <w:szCs w:val="21"/>
        </w:rPr>
        <w:t>项目编号：</w:t>
      </w:r>
    </w:p>
    <w:tbl>
      <w:tblPr>
        <w:tblStyle w:val="2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95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4CFE5C6A">
            <w:pPr>
              <w:rPr>
                <w:szCs w:val="21"/>
              </w:rPr>
            </w:pPr>
            <w:r>
              <w:rPr>
                <w:szCs w:val="21"/>
              </w:rPr>
              <w:t>章节号</w:t>
            </w:r>
          </w:p>
        </w:tc>
        <w:tc>
          <w:tcPr>
            <w:tcW w:w="2132" w:type="dxa"/>
            <w:vAlign w:val="center"/>
          </w:tcPr>
          <w:p w14:paraId="552C3E13">
            <w:pPr>
              <w:rPr>
                <w:szCs w:val="21"/>
              </w:rPr>
            </w:pPr>
            <w:r>
              <w:rPr>
                <w:rFonts w:hint="eastAsia"/>
                <w:szCs w:val="21"/>
              </w:rPr>
              <w:t>供应商</w:t>
            </w:r>
            <w:r>
              <w:rPr>
                <w:szCs w:val="21"/>
              </w:rPr>
              <w:t>的偏离</w:t>
            </w:r>
          </w:p>
        </w:tc>
        <w:tc>
          <w:tcPr>
            <w:tcW w:w="3044" w:type="dxa"/>
            <w:vAlign w:val="center"/>
          </w:tcPr>
          <w:p w14:paraId="1D564A80">
            <w:pPr>
              <w:rPr>
                <w:szCs w:val="21"/>
              </w:rPr>
            </w:pPr>
            <w:r>
              <w:rPr>
                <w:rFonts w:hint="eastAsia"/>
                <w:szCs w:val="21"/>
              </w:rPr>
              <w:t>供应商</w:t>
            </w:r>
            <w:r>
              <w:rPr>
                <w:szCs w:val="21"/>
              </w:rPr>
              <w:t>偏离的理由</w:t>
            </w:r>
          </w:p>
        </w:tc>
        <w:tc>
          <w:tcPr>
            <w:tcW w:w="1440" w:type="dxa"/>
            <w:vAlign w:val="center"/>
          </w:tcPr>
          <w:p w14:paraId="1274E40C">
            <w:pPr>
              <w:rPr>
                <w:szCs w:val="21"/>
              </w:rPr>
            </w:pPr>
            <w:r>
              <w:rPr>
                <w:szCs w:val="21"/>
              </w:rPr>
              <w:t>备注</w:t>
            </w:r>
          </w:p>
        </w:tc>
      </w:tr>
      <w:tr w14:paraId="280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7F71075D">
            <w:pPr>
              <w:rPr>
                <w:szCs w:val="21"/>
              </w:rPr>
            </w:pPr>
          </w:p>
        </w:tc>
        <w:tc>
          <w:tcPr>
            <w:tcW w:w="2132" w:type="dxa"/>
          </w:tcPr>
          <w:p w14:paraId="2E347645">
            <w:pPr>
              <w:rPr>
                <w:szCs w:val="21"/>
              </w:rPr>
            </w:pPr>
          </w:p>
        </w:tc>
        <w:tc>
          <w:tcPr>
            <w:tcW w:w="3044" w:type="dxa"/>
          </w:tcPr>
          <w:p w14:paraId="2DA9F5BB">
            <w:pPr>
              <w:rPr>
                <w:szCs w:val="21"/>
              </w:rPr>
            </w:pPr>
          </w:p>
        </w:tc>
        <w:tc>
          <w:tcPr>
            <w:tcW w:w="1440" w:type="dxa"/>
          </w:tcPr>
          <w:p w14:paraId="6C44D767">
            <w:pPr>
              <w:rPr>
                <w:szCs w:val="21"/>
              </w:rPr>
            </w:pPr>
          </w:p>
        </w:tc>
      </w:tr>
      <w:tr w14:paraId="318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6B338213">
            <w:pPr>
              <w:rPr>
                <w:szCs w:val="21"/>
              </w:rPr>
            </w:pPr>
          </w:p>
        </w:tc>
        <w:tc>
          <w:tcPr>
            <w:tcW w:w="2132" w:type="dxa"/>
          </w:tcPr>
          <w:p w14:paraId="321205FE">
            <w:pPr>
              <w:rPr>
                <w:szCs w:val="21"/>
              </w:rPr>
            </w:pPr>
          </w:p>
        </w:tc>
        <w:tc>
          <w:tcPr>
            <w:tcW w:w="3044" w:type="dxa"/>
          </w:tcPr>
          <w:p w14:paraId="787CBB1C">
            <w:pPr>
              <w:rPr>
                <w:szCs w:val="21"/>
              </w:rPr>
            </w:pPr>
          </w:p>
        </w:tc>
        <w:tc>
          <w:tcPr>
            <w:tcW w:w="1440" w:type="dxa"/>
          </w:tcPr>
          <w:p w14:paraId="64231935">
            <w:pPr>
              <w:rPr>
                <w:szCs w:val="21"/>
              </w:rPr>
            </w:pPr>
          </w:p>
        </w:tc>
      </w:tr>
    </w:tbl>
    <w:p w14:paraId="37B84AE9">
      <w:pPr>
        <w:rPr>
          <w:sz w:val="24"/>
        </w:rPr>
      </w:pPr>
    </w:p>
    <w:p w14:paraId="341E9028">
      <w:pPr>
        <w:spacing w:line="280" w:lineRule="exact"/>
        <w:rPr>
          <w:szCs w:val="21"/>
        </w:rPr>
      </w:pPr>
      <w:r>
        <w:rPr>
          <w:rFonts w:hint="eastAsia"/>
          <w:szCs w:val="21"/>
        </w:rPr>
        <w:t>供应商</w:t>
      </w:r>
      <w:r>
        <w:rPr>
          <w:szCs w:val="21"/>
        </w:rPr>
        <w:t xml:space="preserve">（盖章）：                    </w:t>
      </w:r>
    </w:p>
    <w:p w14:paraId="138D1B43">
      <w:pPr>
        <w:spacing w:line="280" w:lineRule="exact"/>
        <w:rPr>
          <w:szCs w:val="21"/>
        </w:rPr>
      </w:pPr>
    </w:p>
    <w:p w14:paraId="275B8CD1">
      <w:pPr>
        <w:spacing w:line="280" w:lineRule="exact"/>
        <w:rPr>
          <w:szCs w:val="21"/>
        </w:rPr>
      </w:pPr>
      <w:r>
        <w:rPr>
          <w:szCs w:val="21"/>
        </w:rPr>
        <w:t>法定代表人或代理人（签字或盖章）：</w:t>
      </w:r>
    </w:p>
    <w:p w14:paraId="7E35FF98">
      <w:pPr>
        <w:spacing w:line="280" w:lineRule="exact"/>
        <w:rPr>
          <w:szCs w:val="21"/>
        </w:rPr>
      </w:pPr>
    </w:p>
    <w:p w14:paraId="789B69F8">
      <w:pPr>
        <w:spacing w:line="280" w:lineRule="exact"/>
        <w:jc w:val="right"/>
        <w:rPr>
          <w:szCs w:val="21"/>
        </w:rPr>
      </w:pPr>
      <w:r>
        <w:rPr>
          <w:szCs w:val="21"/>
        </w:rPr>
        <w:t>年  月  日</w:t>
      </w:r>
    </w:p>
    <w:p w14:paraId="7D3D43C1">
      <w:pPr>
        <w:spacing w:line="520" w:lineRule="exact"/>
        <w:ind w:firstLine="420" w:firstLineChars="200"/>
        <w:rPr>
          <w:szCs w:val="21"/>
        </w:rPr>
      </w:pPr>
    </w:p>
    <w:p w14:paraId="325D3C46">
      <w:pPr>
        <w:spacing w:line="520" w:lineRule="exact"/>
        <w:ind w:firstLine="360" w:firstLineChars="200"/>
        <w:rPr>
          <w:sz w:val="18"/>
          <w:szCs w:val="18"/>
        </w:rPr>
      </w:pPr>
    </w:p>
    <w:p w14:paraId="3DDE1854">
      <w:pPr>
        <w:pStyle w:val="7"/>
        <w:overflowPunct w:val="0"/>
        <w:spacing w:line="500" w:lineRule="exact"/>
        <w:ind w:firstLine="0"/>
        <w:rPr>
          <w:rFonts w:ascii="Times New Roman"/>
          <w:sz w:val="18"/>
          <w:szCs w:val="18"/>
        </w:rPr>
      </w:pPr>
    </w:p>
    <w:p w14:paraId="0C5832A0">
      <w:pPr>
        <w:pStyle w:val="7"/>
        <w:overflowPunct w:val="0"/>
        <w:spacing w:line="500" w:lineRule="exact"/>
        <w:ind w:firstLine="0"/>
        <w:rPr>
          <w:rFonts w:ascii="Times New Roman"/>
          <w:sz w:val="18"/>
          <w:szCs w:val="18"/>
        </w:rPr>
      </w:pPr>
    </w:p>
    <w:p w14:paraId="2E9ACB04">
      <w:pPr>
        <w:rPr>
          <w:szCs w:val="21"/>
        </w:rPr>
      </w:pPr>
    </w:p>
    <w:p w14:paraId="036B1659">
      <w:pPr>
        <w:rPr>
          <w:szCs w:val="21"/>
        </w:rPr>
      </w:pPr>
    </w:p>
    <w:p w14:paraId="3E450928">
      <w:pPr>
        <w:rPr>
          <w:szCs w:val="21"/>
        </w:rPr>
      </w:pPr>
    </w:p>
    <w:p w14:paraId="797D1F8A">
      <w:pPr>
        <w:rPr>
          <w:szCs w:val="21"/>
        </w:rPr>
      </w:pPr>
    </w:p>
    <w:p w14:paraId="502FF36F">
      <w:pPr>
        <w:spacing w:line="520" w:lineRule="exact"/>
        <w:ind w:firstLine="420" w:firstLineChars="200"/>
        <w:rPr>
          <w:szCs w:val="21"/>
        </w:rPr>
      </w:pPr>
    </w:p>
    <w:p w14:paraId="5A9ABE5E">
      <w:pPr>
        <w:spacing w:line="520" w:lineRule="exact"/>
        <w:ind w:firstLine="420" w:firstLineChars="200"/>
        <w:rPr>
          <w:szCs w:val="21"/>
        </w:rPr>
      </w:pPr>
    </w:p>
    <w:p w14:paraId="7D85FC34">
      <w:pPr>
        <w:rPr>
          <w:szCs w:val="21"/>
        </w:rPr>
      </w:pPr>
    </w:p>
    <w:p w14:paraId="182951DA">
      <w:pPr>
        <w:pStyle w:val="7"/>
        <w:overflowPunct w:val="0"/>
        <w:spacing w:line="500" w:lineRule="exact"/>
        <w:ind w:firstLine="0"/>
        <w:rPr>
          <w:rFonts w:ascii="Times New Roman"/>
          <w:sz w:val="21"/>
          <w:szCs w:val="21"/>
        </w:rPr>
      </w:pPr>
    </w:p>
    <w:p w14:paraId="0435CE86">
      <w:pPr>
        <w:pStyle w:val="7"/>
        <w:overflowPunct w:val="0"/>
        <w:spacing w:line="500" w:lineRule="exact"/>
        <w:ind w:firstLine="0"/>
        <w:rPr>
          <w:rFonts w:ascii="Times New Roman"/>
          <w:sz w:val="21"/>
          <w:szCs w:val="21"/>
        </w:rPr>
      </w:pPr>
    </w:p>
    <w:p w14:paraId="1F40923F">
      <w:pPr>
        <w:rPr>
          <w:szCs w:val="21"/>
        </w:rPr>
      </w:pPr>
    </w:p>
    <w:p w14:paraId="0B372AC5">
      <w:pPr>
        <w:rPr>
          <w:szCs w:val="21"/>
        </w:rPr>
      </w:pPr>
    </w:p>
    <w:p w14:paraId="5E707DAA">
      <w:pPr>
        <w:rPr>
          <w:szCs w:val="21"/>
        </w:rPr>
      </w:pPr>
    </w:p>
    <w:p w14:paraId="1C91C225">
      <w:pPr>
        <w:rPr>
          <w:szCs w:val="21"/>
        </w:rPr>
      </w:pPr>
    </w:p>
    <w:p w14:paraId="1ED1C1B0">
      <w:pPr>
        <w:rPr>
          <w:szCs w:val="21"/>
        </w:rPr>
      </w:pPr>
    </w:p>
    <w:p w14:paraId="700031E9">
      <w:pPr>
        <w:rPr>
          <w:szCs w:val="21"/>
        </w:rPr>
      </w:pPr>
    </w:p>
    <w:p w14:paraId="5287A198">
      <w:pPr>
        <w:rPr>
          <w:szCs w:val="21"/>
        </w:rPr>
      </w:pPr>
    </w:p>
    <w:p w14:paraId="384F1810">
      <w:pPr>
        <w:rPr>
          <w:szCs w:val="21"/>
        </w:rPr>
      </w:pPr>
    </w:p>
    <w:p w14:paraId="4D5B0177">
      <w:pPr>
        <w:rPr>
          <w:szCs w:val="21"/>
        </w:rPr>
      </w:pPr>
    </w:p>
    <w:p w14:paraId="37542266">
      <w:pPr>
        <w:rPr>
          <w:rFonts w:hint="eastAsia" w:ascii="宋体" w:hAnsi="宋体" w:cs="宋体"/>
          <w:b/>
          <w:sz w:val="28"/>
          <w:szCs w:val="28"/>
        </w:rPr>
      </w:pPr>
      <w:r>
        <w:rPr>
          <w:rFonts w:hint="eastAsia" w:ascii="宋体" w:hAnsi="宋体" w:cs="宋体"/>
          <w:b/>
          <w:sz w:val="32"/>
          <w:szCs w:val="32"/>
        </w:rPr>
        <w:t>附件6：供应商管理关系或控股关系信息情况表</w:t>
      </w:r>
    </w:p>
    <w:p w14:paraId="31B879AC">
      <w:pPr>
        <w:autoSpaceDE w:val="0"/>
        <w:autoSpaceDN w:val="0"/>
        <w:adjustRightInd w:val="0"/>
        <w:spacing w:line="360" w:lineRule="auto"/>
        <w:jc w:val="center"/>
        <w:rPr>
          <w:rFonts w:hint="eastAsia" w:ascii="宋体" w:hAnsi="宋体" w:cs="宋体"/>
          <w:b/>
          <w:sz w:val="28"/>
          <w:szCs w:val="28"/>
        </w:rPr>
      </w:pPr>
    </w:p>
    <w:p w14:paraId="0D20946D">
      <w:pPr>
        <w:autoSpaceDE w:val="0"/>
        <w:autoSpaceDN w:val="0"/>
        <w:adjustRightInd w:val="0"/>
        <w:spacing w:line="360" w:lineRule="auto"/>
        <w:jc w:val="center"/>
        <w:rPr>
          <w:rFonts w:hint="eastAsia"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1ECE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5EAE461">
            <w:pPr>
              <w:spacing w:line="520" w:lineRule="exact"/>
              <w:ind w:firstLine="560"/>
              <w:jc w:val="left"/>
              <w:rPr>
                <w:rFonts w:hint="eastAsia" w:ascii="宋体" w:hAnsi="宋体" w:cs="宋体"/>
                <w:szCs w:val="21"/>
              </w:rPr>
            </w:pPr>
            <w:r>
              <w:rPr>
                <w:rFonts w:hint="eastAsia" w:ascii="宋体" w:hAnsi="宋体" w:cs="宋体"/>
                <w:szCs w:val="21"/>
              </w:rPr>
              <w:t>法定代表人</w:t>
            </w:r>
          </w:p>
        </w:tc>
        <w:tc>
          <w:tcPr>
            <w:tcW w:w="1994" w:type="dxa"/>
            <w:vAlign w:val="center"/>
          </w:tcPr>
          <w:p w14:paraId="0F481B5B">
            <w:pPr>
              <w:spacing w:line="520" w:lineRule="exact"/>
              <w:ind w:firstLine="560"/>
              <w:jc w:val="left"/>
              <w:rPr>
                <w:rFonts w:hint="eastAsia" w:ascii="宋体" w:hAnsi="宋体" w:cs="宋体"/>
                <w:szCs w:val="21"/>
              </w:rPr>
            </w:pPr>
          </w:p>
        </w:tc>
        <w:tc>
          <w:tcPr>
            <w:tcW w:w="1453" w:type="dxa"/>
            <w:vAlign w:val="center"/>
          </w:tcPr>
          <w:p w14:paraId="5C4E3BC9">
            <w:pPr>
              <w:spacing w:line="520" w:lineRule="exact"/>
              <w:jc w:val="left"/>
              <w:rPr>
                <w:rFonts w:hint="eastAsia" w:ascii="宋体" w:hAnsi="宋体" w:cs="宋体"/>
                <w:szCs w:val="21"/>
              </w:rPr>
            </w:pPr>
            <w:r>
              <w:rPr>
                <w:rFonts w:hint="eastAsia" w:ascii="宋体" w:hAnsi="宋体" w:cs="宋体"/>
                <w:szCs w:val="21"/>
              </w:rPr>
              <w:t>成立日期</w:t>
            </w:r>
          </w:p>
        </w:tc>
        <w:tc>
          <w:tcPr>
            <w:tcW w:w="2806" w:type="dxa"/>
            <w:vAlign w:val="center"/>
          </w:tcPr>
          <w:p w14:paraId="40588408">
            <w:pPr>
              <w:spacing w:line="520" w:lineRule="exact"/>
              <w:ind w:firstLine="560"/>
              <w:jc w:val="left"/>
              <w:rPr>
                <w:rFonts w:hint="eastAsia" w:ascii="宋体" w:hAnsi="宋体" w:cs="宋体"/>
                <w:szCs w:val="21"/>
              </w:rPr>
            </w:pPr>
          </w:p>
        </w:tc>
      </w:tr>
      <w:tr w14:paraId="54A1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607B0B7F">
            <w:pPr>
              <w:spacing w:line="520" w:lineRule="exact"/>
              <w:ind w:firstLine="560"/>
              <w:jc w:val="left"/>
              <w:rPr>
                <w:rFonts w:hint="eastAsia" w:ascii="宋体" w:hAnsi="宋体" w:cs="宋体"/>
                <w:szCs w:val="21"/>
              </w:rPr>
            </w:pPr>
            <w:r>
              <w:rPr>
                <w:rFonts w:hint="eastAsia" w:ascii="宋体" w:hAnsi="宋体" w:cs="宋体"/>
                <w:szCs w:val="21"/>
              </w:rPr>
              <w:t>企业地址</w:t>
            </w:r>
          </w:p>
        </w:tc>
        <w:tc>
          <w:tcPr>
            <w:tcW w:w="1994" w:type="dxa"/>
            <w:vAlign w:val="center"/>
          </w:tcPr>
          <w:p w14:paraId="6B74EF23">
            <w:pPr>
              <w:spacing w:line="520" w:lineRule="exact"/>
              <w:ind w:firstLine="560"/>
              <w:jc w:val="left"/>
              <w:rPr>
                <w:rFonts w:hint="eastAsia" w:ascii="宋体" w:hAnsi="宋体" w:cs="宋体"/>
                <w:szCs w:val="21"/>
              </w:rPr>
            </w:pPr>
          </w:p>
        </w:tc>
        <w:tc>
          <w:tcPr>
            <w:tcW w:w="1453" w:type="dxa"/>
            <w:vAlign w:val="center"/>
          </w:tcPr>
          <w:p w14:paraId="0006F00E">
            <w:pPr>
              <w:spacing w:line="520" w:lineRule="exact"/>
              <w:jc w:val="left"/>
              <w:rPr>
                <w:rFonts w:hint="eastAsia" w:ascii="宋体" w:hAnsi="宋体" w:cs="宋体"/>
                <w:szCs w:val="21"/>
              </w:rPr>
            </w:pPr>
            <w:r>
              <w:rPr>
                <w:rFonts w:hint="eastAsia" w:ascii="宋体" w:hAnsi="宋体" w:cs="宋体"/>
                <w:szCs w:val="21"/>
              </w:rPr>
              <w:t>注册资本</w:t>
            </w:r>
          </w:p>
        </w:tc>
        <w:tc>
          <w:tcPr>
            <w:tcW w:w="2806" w:type="dxa"/>
            <w:vAlign w:val="center"/>
          </w:tcPr>
          <w:p w14:paraId="2533F093">
            <w:pPr>
              <w:spacing w:line="520" w:lineRule="exact"/>
              <w:ind w:firstLine="560"/>
              <w:jc w:val="left"/>
              <w:rPr>
                <w:rFonts w:hint="eastAsia" w:ascii="宋体" w:hAnsi="宋体" w:cs="宋体"/>
                <w:szCs w:val="21"/>
              </w:rPr>
            </w:pPr>
            <w:r>
              <w:rPr>
                <w:rFonts w:hint="eastAsia" w:ascii="宋体" w:hAnsi="宋体" w:cs="宋体"/>
                <w:szCs w:val="21"/>
              </w:rPr>
              <w:t>万元</w:t>
            </w:r>
          </w:p>
        </w:tc>
      </w:tr>
      <w:tr w14:paraId="05EC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08A0911">
            <w:pPr>
              <w:spacing w:line="520" w:lineRule="exact"/>
              <w:jc w:val="center"/>
              <w:rPr>
                <w:rFonts w:hint="eastAsia" w:ascii="宋体" w:hAnsi="宋体" w:cs="宋体"/>
                <w:szCs w:val="21"/>
              </w:rPr>
            </w:pPr>
            <w:r>
              <w:rPr>
                <w:rFonts w:hint="eastAsia" w:ascii="宋体" w:hAnsi="宋体" w:cs="宋体"/>
                <w:szCs w:val="21"/>
              </w:rPr>
              <w:t>统一社会信用代码</w:t>
            </w:r>
          </w:p>
        </w:tc>
        <w:tc>
          <w:tcPr>
            <w:tcW w:w="6255" w:type="dxa"/>
            <w:gridSpan w:val="3"/>
            <w:vAlign w:val="center"/>
          </w:tcPr>
          <w:p w14:paraId="0A8AB270">
            <w:pPr>
              <w:spacing w:line="520" w:lineRule="exact"/>
              <w:ind w:firstLine="560"/>
              <w:jc w:val="left"/>
              <w:rPr>
                <w:rFonts w:hint="eastAsia" w:ascii="宋体" w:hAnsi="宋体" w:cs="宋体"/>
                <w:szCs w:val="21"/>
              </w:rPr>
            </w:pPr>
          </w:p>
        </w:tc>
      </w:tr>
      <w:tr w14:paraId="590B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E2DBA31">
            <w:pPr>
              <w:spacing w:line="520" w:lineRule="exact"/>
              <w:ind w:firstLine="560"/>
              <w:jc w:val="left"/>
              <w:rPr>
                <w:rFonts w:hint="eastAsia" w:ascii="宋体" w:hAnsi="宋体" w:cs="宋体"/>
                <w:szCs w:val="21"/>
              </w:rPr>
            </w:pPr>
            <w:r>
              <w:rPr>
                <w:rFonts w:hint="eastAsia" w:ascii="宋体" w:hAnsi="宋体" w:cs="宋体"/>
                <w:szCs w:val="21"/>
              </w:rPr>
              <w:t>经营范围</w:t>
            </w:r>
          </w:p>
        </w:tc>
        <w:tc>
          <w:tcPr>
            <w:tcW w:w="6255" w:type="dxa"/>
            <w:gridSpan w:val="3"/>
            <w:vAlign w:val="center"/>
          </w:tcPr>
          <w:p w14:paraId="4B4CB6C0">
            <w:pPr>
              <w:spacing w:line="520" w:lineRule="exact"/>
              <w:ind w:firstLine="560"/>
              <w:jc w:val="left"/>
              <w:rPr>
                <w:rFonts w:hint="eastAsia" w:ascii="宋体" w:hAnsi="宋体" w:cs="宋体"/>
                <w:szCs w:val="21"/>
              </w:rPr>
            </w:pPr>
          </w:p>
        </w:tc>
      </w:tr>
      <w:tr w14:paraId="75CD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35971772">
            <w:pPr>
              <w:spacing w:line="520" w:lineRule="exact"/>
              <w:ind w:firstLine="560"/>
              <w:jc w:val="left"/>
              <w:rPr>
                <w:rFonts w:hint="eastAsia" w:ascii="宋体" w:hAnsi="宋体" w:cs="宋体"/>
                <w:szCs w:val="21"/>
              </w:rPr>
            </w:pPr>
            <w:r>
              <w:rPr>
                <w:rFonts w:hint="eastAsia" w:ascii="宋体" w:hAnsi="宋体" w:cs="宋体"/>
                <w:szCs w:val="21"/>
              </w:rPr>
              <w:t>股东信息</w:t>
            </w:r>
          </w:p>
        </w:tc>
        <w:tc>
          <w:tcPr>
            <w:tcW w:w="6255" w:type="dxa"/>
            <w:gridSpan w:val="3"/>
            <w:vAlign w:val="center"/>
          </w:tcPr>
          <w:p w14:paraId="006B4AEF">
            <w:pPr>
              <w:spacing w:line="480" w:lineRule="exact"/>
              <w:jc w:val="left"/>
              <w:rPr>
                <w:rFonts w:hint="eastAsia" w:ascii="宋体" w:hAnsi="宋体" w:cs="宋体"/>
                <w:szCs w:val="21"/>
              </w:rPr>
            </w:pPr>
            <w:r>
              <w:rPr>
                <w:rFonts w:hint="eastAsia" w:ascii="宋体" w:hAnsi="宋体" w:cs="宋体"/>
                <w:szCs w:val="21"/>
              </w:rPr>
              <w:t>股东1（姓名或单位名称）：</w:t>
            </w:r>
          </w:p>
          <w:p w14:paraId="2F26501F">
            <w:pPr>
              <w:spacing w:line="480" w:lineRule="exact"/>
              <w:jc w:val="left"/>
              <w:rPr>
                <w:rFonts w:hint="eastAsia" w:ascii="宋体" w:hAnsi="宋体" w:cs="宋体"/>
                <w:szCs w:val="21"/>
              </w:rPr>
            </w:pPr>
            <w:r>
              <w:rPr>
                <w:rFonts w:hint="eastAsia" w:ascii="宋体" w:hAnsi="宋体" w:cs="宋体"/>
                <w:szCs w:val="21"/>
              </w:rPr>
              <w:t>股东1持股比例：</w:t>
            </w:r>
          </w:p>
          <w:p w14:paraId="6BDC8FEC">
            <w:pPr>
              <w:spacing w:line="480" w:lineRule="exact"/>
              <w:jc w:val="left"/>
              <w:rPr>
                <w:rFonts w:hint="eastAsia" w:ascii="宋体" w:hAnsi="宋体" w:cs="宋体"/>
                <w:szCs w:val="21"/>
              </w:rPr>
            </w:pPr>
          </w:p>
          <w:p w14:paraId="078A5433">
            <w:pPr>
              <w:spacing w:line="480" w:lineRule="exact"/>
              <w:jc w:val="left"/>
              <w:rPr>
                <w:rFonts w:hint="eastAsia" w:ascii="宋体" w:hAnsi="宋体" w:cs="宋体"/>
                <w:szCs w:val="21"/>
              </w:rPr>
            </w:pPr>
            <w:r>
              <w:rPr>
                <w:rFonts w:hint="eastAsia" w:ascii="宋体" w:hAnsi="宋体" w:cs="宋体"/>
                <w:szCs w:val="21"/>
              </w:rPr>
              <w:t>股东2（姓名或单位名称）：</w:t>
            </w:r>
          </w:p>
          <w:p w14:paraId="60CCE358">
            <w:pPr>
              <w:spacing w:line="480" w:lineRule="exact"/>
              <w:jc w:val="left"/>
              <w:rPr>
                <w:rFonts w:hint="eastAsia" w:ascii="宋体" w:hAnsi="宋体" w:cs="宋体"/>
                <w:szCs w:val="21"/>
              </w:rPr>
            </w:pPr>
            <w:r>
              <w:rPr>
                <w:rFonts w:hint="eastAsia" w:ascii="宋体" w:hAnsi="宋体" w:cs="宋体"/>
                <w:szCs w:val="21"/>
              </w:rPr>
              <w:t>股东2持股比例：</w:t>
            </w:r>
          </w:p>
          <w:p w14:paraId="2F3A975D">
            <w:pPr>
              <w:spacing w:line="480" w:lineRule="exact"/>
              <w:jc w:val="left"/>
              <w:rPr>
                <w:rFonts w:hint="eastAsia" w:ascii="宋体" w:hAnsi="宋体" w:cs="宋体"/>
                <w:szCs w:val="21"/>
              </w:rPr>
            </w:pPr>
            <w:r>
              <w:rPr>
                <w:rFonts w:hint="eastAsia" w:ascii="宋体" w:hAnsi="宋体" w:cs="宋体"/>
                <w:szCs w:val="21"/>
              </w:rPr>
              <w:t>（不够的可自行增加）</w:t>
            </w:r>
          </w:p>
        </w:tc>
      </w:tr>
      <w:tr w14:paraId="6BEE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A18037D">
            <w:pPr>
              <w:spacing w:line="520" w:lineRule="exact"/>
              <w:jc w:val="left"/>
              <w:rPr>
                <w:rFonts w:hint="eastAsia"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364AC4D4">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6D6DBA80">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2598B743">
            <w:pPr>
              <w:spacing w:line="500" w:lineRule="exact"/>
              <w:jc w:val="left"/>
              <w:rPr>
                <w:rFonts w:hint="eastAsia" w:ascii="宋体" w:hAnsi="宋体" w:cs="宋体"/>
                <w:szCs w:val="21"/>
              </w:rPr>
            </w:pPr>
            <w:r>
              <w:rPr>
                <w:rFonts w:hint="eastAsia" w:ascii="宋体" w:hAnsi="宋体" w:cs="宋体"/>
                <w:szCs w:val="21"/>
              </w:rPr>
              <w:t>企业1名称：</w:t>
            </w:r>
          </w:p>
          <w:p w14:paraId="6EBB5B6E">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24AF7FDA">
            <w:pPr>
              <w:spacing w:line="500" w:lineRule="exact"/>
              <w:jc w:val="left"/>
              <w:rPr>
                <w:rFonts w:hint="eastAsia" w:ascii="宋体" w:hAnsi="宋体" w:cs="宋体"/>
                <w:szCs w:val="21"/>
              </w:rPr>
            </w:pPr>
            <w:r>
              <w:rPr>
                <w:rFonts w:hint="eastAsia" w:ascii="宋体" w:hAnsi="宋体" w:cs="宋体"/>
                <w:szCs w:val="21"/>
              </w:rPr>
              <w:t>企业2名称：</w:t>
            </w:r>
          </w:p>
          <w:p w14:paraId="7BC88F74">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58345D5C">
            <w:pPr>
              <w:spacing w:line="500" w:lineRule="exact"/>
              <w:jc w:val="left"/>
              <w:rPr>
                <w:rFonts w:hint="eastAsia" w:ascii="宋体" w:hAnsi="宋体" w:cs="宋体"/>
                <w:szCs w:val="21"/>
              </w:rPr>
            </w:pPr>
            <w:r>
              <w:rPr>
                <w:rFonts w:hint="eastAsia" w:ascii="宋体" w:hAnsi="宋体" w:cs="宋体"/>
                <w:szCs w:val="21"/>
              </w:rPr>
              <w:t>（不够的可自行增加）</w:t>
            </w:r>
          </w:p>
        </w:tc>
      </w:tr>
      <w:tr w14:paraId="4E10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36098903">
            <w:pPr>
              <w:spacing w:line="500" w:lineRule="exact"/>
              <w:ind w:firstLine="561"/>
              <w:jc w:val="left"/>
              <w:rPr>
                <w:rFonts w:hint="eastAsia"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26D9FFF3">
            <w:pPr>
              <w:spacing w:line="500" w:lineRule="exact"/>
              <w:ind w:firstLine="561"/>
              <w:jc w:val="left"/>
              <w:rPr>
                <w:rFonts w:hint="eastAsia" w:ascii="宋体" w:hAnsi="宋体" w:cs="宋体"/>
                <w:szCs w:val="21"/>
              </w:rPr>
            </w:pPr>
            <w:r>
              <w:rPr>
                <w:rFonts w:hint="eastAsia" w:ascii="宋体" w:hAnsi="宋体" w:cs="宋体"/>
                <w:szCs w:val="21"/>
              </w:rPr>
              <w:t>供应商（盖章）：</w:t>
            </w:r>
          </w:p>
          <w:p w14:paraId="143CC82D">
            <w:pPr>
              <w:spacing w:line="500" w:lineRule="exact"/>
              <w:ind w:firstLine="561"/>
              <w:jc w:val="left"/>
              <w:rPr>
                <w:rFonts w:hint="eastAsia" w:ascii="宋体" w:hAnsi="宋体" w:cs="宋体"/>
                <w:szCs w:val="21"/>
              </w:rPr>
            </w:pPr>
            <w:r>
              <w:rPr>
                <w:rFonts w:hint="eastAsia" w:ascii="宋体" w:hAnsi="宋体" w:cs="宋体"/>
                <w:szCs w:val="21"/>
              </w:rPr>
              <w:t>法定代表人（签字或盖章）：</w:t>
            </w:r>
          </w:p>
          <w:p w14:paraId="7AD810FB">
            <w:pPr>
              <w:spacing w:line="520" w:lineRule="exact"/>
              <w:ind w:firstLine="560"/>
              <w:jc w:val="left"/>
              <w:rPr>
                <w:rFonts w:hint="eastAsia" w:ascii="宋体" w:hAnsi="宋体" w:cs="宋体"/>
                <w:szCs w:val="21"/>
              </w:rPr>
            </w:pPr>
            <w:r>
              <w:rPr>
                <w:rFonts w:hint="eastAsia" w:ascii="宋体" w:hAnsi="宋体" w:cs="宋体"/>
                <w:szCs w:val="21"/>
              </w:rPr>
              <w:t xml:space="preserve">                                              日期：   年  月  日</w:t>
            </w:r>
          </w:p>
        </w:tc>
      </w:tr>
    </w:tbl>
    <w:p w14:paraId="6389CB71">
      <w:pPr>
        <w:pStyle w:val="7"/>
        <w:overflowPunct w:val="0"/>
        <w:spacing w:line="500" w:lineRule="exact"/>
        <w:ind w:firstLine="0"/>
        <w:rPr>
          <w:rFonts w:ascii="Times New Roman"/>
          <w:b/>
          <w:bCs/>
          <w:color w:val="000000"/>
          <w:sz w:val="30"/>
          <w:szCs w:val="30"/>
        </w:rPr>
      </w:pPr>
    </w:p>
    <w:p w14:paraId="384E9CCC">
      <w:pPr>
        <w:spacing w:line="460" w:lineRule="exact"/>
        <w:outlineLvl w:val="1"/>
        <w:rPr>
          <w:rFonts w:hint="eastAsia" w:ascii="宋体" w:hAnsi="宋体" w:cs="宋体"/>
          <w:b/>
          <w:bCs/>
          <w:color w:val="000000"/>
          <w:sz w:val="28"/>
          <w:szCs w:val="28"/>
        </w:rPr>
      </w:pPr>
      <w:r>
        <w:rPr>
          <w:b/>
          <w:bCs/>
          <w:color w:val="000000"/>
          <w:sz w:val="30"/>
          <w:szCs w:val="30"/>
        </w:rPr>
        <w:t>附件</w:t>
      </w:r>
      <w:r>
        <w:rPr>
          <w:rFonts w:hint="eastAsia"/>
          <w:b/>
          <w:bCs/>
          <w:color w:val="000000"/>
          <w:sz w:val="30"/>
          <w:szCs w:val="30"/>
        </w:rPr>
        <w:t>7</w:t>
      </w:r>
      <w:r>
        <w:rPr>
          <w:b/>
          <w:bCs/>
          <w:color w:val="000000"/>
          <w:sz w:val="30"/>
          <w:szCs w:val="30"/>
        </w:rPr>
        <w:t>：</w:t>
      </w:r>
      <w:r>
        <w:rPr>
          <w:rFonts w:hint="eastAsia" w:ascii="宋体" w:hAnsi="宋体" w:cs="宋体"/>
          <w:b/>
          <w:bCs/>
          <w:color w:val="000000"/>
          <w:sz w:val="28"/>
          <w:szCs w:val="28"/>
          <w:lang w:bidi="ar"/>
        </w:rPr>
        <w:t>质量保证、服务承诺书</w:t>
      </w:r>
    </w:p>
    <w:p w14:paraId="3AE2036B">
      <w:pPr>
        <w:rPr>
          <w:rFonts w:hint="eastAsia" w:ascii="宋体" w:hAnsi="宋体" w:cs="宋体"/>
          <w:b/>
          <w:bCs/>
          <w:color w:val="000000"/>
          <w:sz w:val="32"/>
          <w:szCs w:val="32"/>
        </w:rPr>
      </w:pPr>
      <w:r>
        <w:rPr>
          <w:rFonts w:hint="eastAsia" w:ascii="宋体" w:hAnsi="宋体" w:cs="宋体"/>
          <w:b/>
          <w:bCs/>
          <w:color w:val="000000"/>
          <w:sz w:val="32"/>
          <w:szCs w:val="32"/>
          <w:lang w:bidi="ar"/>
        </w:rPr>
        <w:t xml:space="preserve"> </w:t>
      </w:r>
    </w:p>
    <w:p w14:paraId="0BA9FA63">
      <w:pPr>
        <w:jc w:val="center"/>
        <w:rPr>
          <w:rFonts w:hint="eastAsia" w:ascii="宋体" w:hAnsi="宋体" w:cs="宋体"/>
          <w:b/>
          <w:bCs/>
          <w:color w:val="000000"/>
          <w:sz w:val="32"/>
          <w:szCs w:val="32"/>
          <w:lang w:bidi="ar"/>
        </w:rPr>
      </w:pPr>
    </w:p>
    <w:p w14:paraId="12F76BA1">
      <w:pPr>
        <w:jc w:val="center"/>
        <w:rPr>
          <w:rFonts w:hint="eastAsia" w:ascii="宋体" w:hAnsi="宋体" w:cs="宋体"/>
          <w:b/>
          <w:bCs/>
          <w:color w:val="000000"/>
          <w:sz w:val="32"/>
          <w:szCs w:val="32"/>
        </w:rPr>
      </w:pPr>
      <w:r>
        <w:rPr>
          <w:rFonts w:hint="eastAsia" w:ascii="宋体" w:hAnsi="宋体" w:cs="宋体"/>
          <w:b/>
          <w:bCs/>
          <w:color w:val="000000"/>
          <w:sz w:val="32"/>
          <w:szCs w:val="32"/>
          <w:lang w:bidi="ar"/>
        </w:rPr>
        <w:t>质量保证、服务承诺书</w:t>
      </w:r>
    </w:p>
    <w:p w14:paraId="38E8B3C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52461DF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6F8F89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86624A7">
      <w:pPr>
        <w:spacing w:line="360" w:lineRule="auto"/>
        <w:rPr>
          <w:rFonts w:hint="eastAsia" w:ascii="宋体" w:hAnsi="宋体" w:cs="宋体"/>
          <w:color w:val="000000"/>
          <w:sz w:val="24"/>
        </w:rPr>
      </w:pPr>
      <w:r>
        <w:rPr>
          <w:rFonts w:hint="eastAsia" w:ascii="宋体" w:hAnsi="宋体" w:cs="宋体"/>
          <w:color w:val="000000"/>
          <w:sz w:val="24"/>
          <w:lang w:bidi="ar"/>
        </w:rPr>
        <w:t>质量保证如下：</w:t>
      </w:r>
    </w:p>
    <w:p w14:paraId="01990C6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77DE7C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43233CE">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4FA6210">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44910629">
      <w:pPr>
        <w:spacing w:line="360" w:lineRule="auto"/>
        <w:rPr>
          <w:rFonts w:hint="eastAsia" w:ascii="宋体" w:hAnsi="宋体" w:cs="宋体"/>
          <w:color w:val="000000"/>
          <w:sz w:val="24"/>
        </w:rPr>
      </w:pPr>
      <w:r>
        <w:rPr>
          <w:rFonts w:hint="eastAsia" w:ascii="宋体" w:hAnsi="宋体" w:cs="宋体"/>
          <w:color w:val="000000"/>
          <w:sz w:val="24"/>
          <w:lang w:bidi="ar"/>
        </w:rPr>
        <w:t>服务承诺如下：</w:t>
      </w:r>
    </w:p>
    <w:p w14:paraId="0AA62099">
      <w:pPr>
        <w:spacing w:line="360" w:lineRule="auto"/>
        <w:rPr>
          <w:rFonts w:hint="eastAsia" w:ascii="宋体" w:hAnsi="宋体" w:cs="宋体"/>
          <w:sz w:val="24"/>
        </w:rPr>
      </w:pPr>
    </w:p>
    <w:p w14:paraId="223D4EEC">
      <w:pPr>
        <w:spacing w:line="360" w:lineRule="auto"/>
        <w:rPr>
          <w:sz w:val="24"/>
        </w:rPr>
      </w:pPr>
    </w:p>
    <w:p w14:paraId="25097633">
      <w:pPr>
        <w:spacing w:line="360" w:lineRule="auto"/>
        <w:rPr>
          <w:sz w:val="24"/>
        </w:rPr>
      </w:pPr>
    </w:p>
    <w:p w14:paraId="77083A6C">
      <w:pPr>
        <w:pStyle w:val="40"/>
        <w:ind w:firstLine="480"/>
        <w:rPr>
          <w:rFonts w:ascii="Times New Roman" w:hAnsi="Times New Roman"/>
          <w:szCs w:val="24"/>
        </w:rPr>
      </w:pPr>
    </w:p>
    <w:p w14:paraId="11B62E68">
      <w:pPr>
        <w:rPr>
          <w:sz w:val="24"/>
        </w:rPr>
      </w:pPr>
    </w:p>
    <w:p w14:paraId="151F1849">
      <w:pPr>
        <w:pStyle w:val="40"/>
        <w:ind w:firstLine="480"/>
        <w:rPr>
          <w:rFonts w:ascii="Times New Roman" w:hAnsi="Times New Roman"/>
        </w:rPr>
      </w:pPr>
    </w:p>
    <w:p w14:paraId="64F36D74">
      <w:pPr>
        <w:pStyle w:val="7"/>
        <w:overflowPunct w:val="0"/>
        <w:spacing w:line="500" w:lineRule="exact"/>
        <w:rPr>
          <w:rFonts w:ascii="Times New Roman"/>
          <w:color w:val="000000"/>
        </w:rPr>
      </w:pPr>
      <w:r>
        <w:rPr>
          <w:rFonts w:ascii="Times New Roman"/>
        </w:rPr>
        <w:t xml:space="preserve">                           </w:t>
      </w:r>
      <w:r>
        <w:rPr>
          <w:rFonts w:ascii="Times New Roman"/>
          <w:color w:val="000000"/>
        </w:rPr>
        <w:t xml:space="preserve"> </w:t>
      </w:r>
      <w:r>
        <w:rPr>
          <w:rFonts w:hint="eastAsia" w:ascii="Times New Roman"/>
          <w:color w:val="000000"/>
        </w:rPr>
        <w:t>供应商</w:t>
      </w:r>
      <w:r>
        <w:rPr>
          <w:rFonts w:ascii="Times New Roman"/>
          <w:color w:val="000000"/>
        </w:rPr>
        <w:t>（盖章）：</w:t>
      </w:r>
    </w:p>
    <w:p w14:paraId="69BAD92C">
      <w:pPr>
        <w:pStyle w:val="7"/>
        <w:overflowPunct w:val="0"/>
        <w:spacing w:line="500" w:lineRule="exact"/>
        <w:rPr>
          <w:rFonts w:ascii="Times New Roman"/>
          <w:color w:val="000000"/>
        </w:rPr>
      </w:pPr>
      <w:r>
        <w:rPr>
          <w:rFonts w:ascii="Times New Roman"/>
          <w:color w:val="000000"/>
        </w:rPr>
        <w:t xml:space="preserve">                            法定代表人或委托代理人（签字或盖章）：</w:t>
      </w:r>
    </w:p>
    <w:p w14:paraId="402A6B9D">
      <w:pPr>
        <w:pStyle w:val="7"/>
        <w:overflowPunct w:val="0"/>
        <w:spacing w:line="500" w:lineRule="exact"/>
        <w:rPr>
          <w:rFonts w:ascii="Times New Roman"/>
          <w:color w:val="000000"/>
        </w:rPr>
      </w:pPr>
      <w:r>
        <w:rPr>
          <w:rFonts w:ascii="Times New Roman"/>
          <w:color w:val="000000"/>
        </w:rPr>
        <w:t xml:space="preserve">                            日 期：</w:t>
      </w:r>
    </w:p>
    <w:p w14:paraId="366F3ED3">
      <w:pPr>
        <w:rPr>
          <w:szCs w:val="21"/>
        </w:rPr>
      </w:pPr>
    </w:p>
    <w:p w14:paraId="64CA07DB">
      <w:pPr>
        <w:rPr>
          <w:szCs w:val="21"/>
        </w:rPr>
      </w:pPr>
    </w:p>
    <w:p w14:paraId="359C4948">
      <w:pPr>
        <w:spacing w:line="520" w:lineRule="exact"/>
        <w:rPr>
          <w:szCs w:val="21"/>
        </w:rPr>
      </w:pPr>
      <w:bookmarkStart w:id="73" w:name="_Toc331056458"/>
      <w:bookmarkStart w:id="74" w:name="_Toc330998570"/>
      <w:bookmarkStart w:id="75" w:name="_Toc331061679"/>
    </w:p>
    <w:p w14:paraId="47B41823">
      <w:pPr>
        <w:spacing w:line="520" w:lineRule="exact"/>
        <w:rPr>
          <w:szCs w:val="21"/>
        </w:rPr>
      </w:pPr>
    </w:p>
    <w:p w14:paraId="630ECD68">
      <w:pPr>
        <w:spacing w:line="520" w:lineRule="exact"/>
        <w:rPr>
          <w:szCs w:val="21"/>
        </w:rPr>
      </w:pPr>
    </w:p>
    <w:p w14:paraId="49EAEEB0">
      <w:pPr>
        <w:spacing w:line="520" w:lineRule="exact"/>
        <w:rPr>
          <w:szCs w:val="21"/>
        </w:rPr>
      </w:pPr>
    </w:p>
    <w:bookmarkEnd w:id="73"/>
    <w:bookmarkEnd w:id="74"/>
    <w:bookmarkEnd w:id="75"/>
    <w:p w14:paraId="54D3C2F5">
      <w:pPr>
        <w:spacing w:line="520" w:lineRule="exact"/>
        <w:ind w:firstLine="420" w:firstLineChars="200"/>
        <w:jc w:val="center"/>
        <w:rPr>
          <w:szCs w:val="21"/>
        </w:rPr>
      </w:pPr>
    </w:p>
    <w:p w14:paraId="5AEB15DB">
      <w:pPr>
        <w:spacing w:line="520" w:lineRule="exact"/>
        <w:ind w:firstLine="420" w:firstLineChars="200"/>
        <w:jc w:val="center"/>
        <w:rPr>
          <w:szCs w:val="21"/>
        </w:rPr>
      </w:pPr>
    </w:p>
    <w:p w14:paraId="07B25F22">
      <w:pPr>
        <w:spacing w:line="520" w:lineRule="exact"/>
        <w:rPr>
          <w:szCs w:val="21"/>
        </w:rPr>
      </w:pPr>
    </w:p>
    <w:p w14:paraId="60F85665"/>
    <w:p w14:paraId="32173FA0">
      <w:pPr>
        <w:pStyle w:val="3"/>
        <w:rPr>
          <w:rFonts w:ascii="Times New Roman" w:eastAsia="宋体"/>
          <w:color w:val="000000"/>
        </w:rPr>
      </w:pPr>
      <w:bookmarkStart w:id="76" w:name="_Toc17534523"/>
      <w:r>
        <w:rPr>
          <w:rFonts w:ascii="Times New Roman" w:eastAsia="宋体"/>
          <w:b/>
          <w:bCs/>
          <w:color w:val="000000"/>
          <w:sz w:val="30"/>
          <w:szCs w:val="30"/>
        </w:rPr>
        <w:t>友 情 提 醒</w:t>
      </w:r>
      <w:bookmarkEnd w:id="76"/>
    </w:p>
    <w:p w14:paraId="40F0BC49">
      <w:pPr>
        <w:spacing w:line="520" w:lineRule="exact"/>
        <w:rPr>
          <w:color w:val="000000"/>
          <w:sz w:val="24"/>
        </w:rPr>
      </w:pPr>
      <w:r>
        <w:rPr>
          <w:color w:val="000000"/>
          <w:sz w:val="24"/>
        </w:rPr>
        <w:t>各竞标单位：</w:t>
      </w:r>
    </w:p>
    <w:p w14:paraId="6E740A38">
      <w:pPr>
        <w:spacing w:line="520" w:lineRule="exact"/>
        <w:ind w:firstLine="480" w:firstLineChars="200"/>
        <w:rPr>
          <w:color w:val="000000"/>
          <w:sz w:val="24"/>
        </w:rPr>
      </w:pPr>
      <w:r>
        <w:rPr>
          <w:color w:val="000000"/>
          <w:sz w:val="24"/>
        </w:rPr>
        <w:t>您好！</w:t>
      </w:r>
    </w:p>
    <w:p w14:paraId="74B8EE0B">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759104D1">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5772CA9F">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69D429F9">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0B5B2B19">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4391184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305E20FC">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26242350">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536B7DA4">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5DBFE4A7">
      <w:pPr>
        <w:spacing w:line="520" w:lineRule="exact"/>
        <w:ind w:firstLine="480" w:firstLineChars="200"/>
        <w:rPr>
          <w:color w:val="000000"/>
          <w:sz w:val="24"/>
        </w:rPr>
      </w:pPr>
    </w:p>
    <w:p w14:paraId="25B3BFF9">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7BD87D1C">
      <w:pPr>
        <w:spacing w:line="520" w:lineRule="exact"/>
        <w:ind w:firstLine="480" w:firstLineChars="200"/>
        <w:rPr>
          <w:color w:val="000000"/>
          <w:sz w:val="24"/>
        </w:rPr>
      </w:pPr>
      <w:r>
        <w:rPr>
          <w:color w:val="000000"/>
          <w:sz w:val="24"/>
        </w:rPr>
        <w:t>最后祝贵单位投标成功！</w:t>
      </w:r>
    </w:p>
    <w:p w14:paraId="3B448A37">
      <w:pPr>
        <w:spacing w:line="520" w:lineRule="exact"/>
        <w:rPr>
          <w:color w:val="000000"/>
          <w:sz w:val="24"/>
        </w:rPr>
      </w:pPr>
    </w:p>
    <w:p w14:paraId="4F774150">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2D117208">
      <w:pPr>
        <w:jc w:val="center"/>
      </w:pPr>
      <w:r>
        <w:rPr>
          <w:b/>
          <w:color w:val="000000"/>
          <w:sz w:val="32"/>
        </w:rPr>
        <w:t>（全文完）</w:t>
      </w:r>
    </w:p>
    <w:p w14:paraId="115059D3"/>
    <w:sectPr>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523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95CF">
    <w:pPr>
      <w:pStyle w:val="16"/>
      <w:tabs>
        <w:tab w:val="right" w:pos="8307"/>
        <w:tab w:val="clear" w:pos="8306"/>
      </w:tabs>
      <w:ind w:right="360" w:firstLine="360"/>
      <w:rPr>
        <w:rFonts w:hint="eastAsia" w:ascii="仿宋_GB2312" w:hAnsi="宋体"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99C">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1836420"/>
          <wp:effectExtent l="0" t="0" r="13970" b="7620"/>
          <wp:wrapNone/>
          <wp:docPr id="5"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C015">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1836420"/>
          <wp:effectExtent l="0" t="0" r="13970" b="7620"/>
          <wp:wrapNone/>
          <wp:docPr id="4"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91E">
    <w:pPr>
      <w:pStyle w:val="18"/>
      <w:jc w:val="right"/>
      <w:rPr>
        <w:sz w:val="20"/>
        <w:szCs w:val="20"/>
      </w:rPr>
    </w:pPr>
    <w:r>
      <w:rPr>
        <w:rFonts w:hint="eastAsia" w:ascii="宋体"/>
        <w:sz w:val="20"/>
        <w:szCs w:val="20"/>
      </w:rPr>
      <w:t>江苏恒卓工程管理咨询有限公司询价采购文件</w:t>
    </w:r>
  </w:p>
  <w:p w14:paraId="205DB2E1">
    <w:pPr>
      <w:pStyle w:val="18"/>
      <w:pBdr>
        <w:bottom w:val="none" w:color="auto" w:sz="0" w:space="0"/>
      </w:pBd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500C"/>
    <w:multiLevelType w:val="multilevel"/>
    <w:tmpl w:val="87E0500C"/>
    <w:lvl w:ilvl="0" w:tentative="0">
      <w:start w:val="1"/>
      <w:numFmt w:val="decimal"/>
      <w:suff w:val="space"/>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C62DA727"/>
    <w:multiLevelType w:val="singleLevel"/>
    <w:tmpl w:val="C62DA727"/>
    <w:lvl w:ilvl="0" w:tentative="0">
      <w:start w:val="5"/>
      <w:numFmt w:val="chineseCounting"/>
      <w:suff w:val="nothing"/>
      <w:lvlText w:val="%1、"/>
      <w:lvlJc w:val="left"/>
      <w:rPr>
        <w:rFonts w:hint="eastAsia"/>
      </w:rPr>
    </w:lvl>
  </w:abstractNum>
  <w:abstractNum w:abstractNumId="2">
    <w:nsid w:val="060F20AA"/>
    <w:multiLevelType w:val="multilevel"/>
    <w:tmpl w:val="060F20AA"/>
    <w:lvl w:ilvl="0" w:tentative="0">
      <w:start w:val="1"/>
      <w:numFmt w:val="decimal"/>
      <w:suff w:val="space"/>
      <w:lvlText w:val="1.%1"/>
      <w:lvlJc w:val="left"/>
      <w:pPr>
        <w:ind w:left="644" w:hanging="360"/>
      </w:pPr>
      <w:rPr>
        <w:rFonts w:hint="default" w:ascii="宋体" w:hAnsi="宋体" w:eastAsia="宋体" w:cs="宋体"/>
        <w:b w:val="0"/>
        <w:sz w:val="21"/>
        <w:szCs w:val="21"/>
      </w:r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3">
    <w:nsid w:val="187E3DE4"/>
    <w:multiLevelType w:val="multilevel"/>
    <w:tmpl w:val="187E3DE4"/>
    <w:lvl w:ilvl="0" w:tentative="0">
      <w:start w:val="1"/>
      <w:numFmt w:val="chineseCountingThousand"/>
      <w:lvlText w:val="第%1条"/>
      <w:lvlJc w:val="left"/>
      <w:pPr>
        <w:ind w:left="420" w:hanging="420"/>
      </w:pPr>
      <w:rPr>
        <w:rFonts w:hint="eastAsia" w:ascii="宋体" w:hAnsi="宋体" w:eastAsia="宋体" w:cs="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EF3CD"/>
    <w:multiLevelType w:val="singleLevel"/>
    <w:tmpl w:val="59CEF3CD"/>
    <w:lvl w:ilvl="0" w:tentative="0">
      <w:start w:val="2"/>
      <w:numFmt w:val="chineseCounting"/>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D62AD"/>
    <w:rsid w:val="001E0B7C"/>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06AEC"/>
    <w:rsid w:val="002116FB"/>
    <w:rsid w:val="00211C64"/>
    <w:rsid w:val="00211E28"/>
    <w:rsid w:val="00213AED"/>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8F3"/>
    <w:rsid w:val="00304D94"/>
    <w:rsid w:val="00310F48"/>
    <w:rsid w:val="00311057"/>
    <w:rsid w:val="00312A10"/>
    <w:rsid w:val="00312F32"/>
    <w:rsid w:val="00314A9E"/>
    <w:rsid w:val="00315AA9"/>
    <w:rsid w:val="00316541"/>
    <w:rsid w:val="00316E95"/>
    <w:rsid w:val="0032069A"/>
    <w:rsid w:val="00320A85"/>
    <w:rsid w:val="003237DF"/>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04B"/>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05D"/>
    <w:rsid w:val="004172C8"/>
    <w:rsid w:val="0041774D"/>
    <w:rsid w:val="00420279"/>
    <w:rsid w:val="0042114B"/>
    <w:rsid w:val="004259FB"/>
    <w:rsid w:val="004261C9"/>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157A"/>
    <w:rsid w:val="00632FD5"/>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D7CF5"/>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13AA"/>
    <w:rsid w:val="007873D8"/>
    <w:rsid w:val="00791675"/>
    <w:rsid w:val="00791814"/>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2BA0"/>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871"/>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90106"/>
    <w:rsid w:val="00B96CF6"/>
    <w:rsid w:val="00BA298B"/>
    <w:rsid w:val="00BA31D1"/>
    <w:rsid w:val="00BA3734"/>
    <w:rsid w:val="00BB1F63"/>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437B"/>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0C38"/>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12D"/>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C7705"/>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16B3"/>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2B19"/>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631F4C"/>
    <w:rsid w:val="12811990"/>
    <w:rsid w:val="12A14823"/>
    <w:rsid w:val="12C53A89"/>
    <w:rsid w:val="12E666D9"/>
    <w:rsid w:val="13030AD0"/>
    <w:rsid w:val="132E6526"/>
    <w:rsid w:val="13517FF7"/>
    <w:rsid w:val="13A50343"/>
    <w:rsid w:val="13AE5449"/>
    <w:rsid w:val="13B86C23"/>
    <w:rsid w:val="13D90051"/>
    <w:rsid w:val="14131E94"/>
    <w:rsid w:val="1429199D"/>
    <w:rsid w:val="144B713C"/>
    <w:rsid w:val="14900D37"/>
    <w:rsid w:val="14904384"/>
    <w:rsid w:val="14A9209E"/>
    <w:rsid w:val="14C56255"/>
    <w:rsid w:val="14CD0BC2"/>
    <w:rsid w:val="156347D8"/>
    <w:rsid w:val="157265ED"/>
    <w:rsid w:val="15B94248"/>
    <w:rsid w:val="15E52B51"/>
    <w:rsid w:val="161A46DC"/>
    <w:rsid w:val="16404C60"/>
    <w:rsid w:val="164125A5"/>
    <w:rsid w:val="166C55C5"/>
    <w:rsid w:val="16935C60"/>
    <w:rsid w:val="16A879C0"/>
    <w:rsid w:val="16CB2C00"/>
    <w:rsid w:val="170F161A"/>
    <w:rsid w:val="17D54719"/>
    <w:rsid w:val="17E859EA"/>
    <w:rsid w:val="180E2746"/>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83606C"/>
    <w:rsid w:val="1D9B3C57"/>
    <w:rsid w:val="1D9B6720"/>
    <w:rsid w:val="1DCD2FAD"/>
    <w:rsid w:val="1DD957B9"/>
    <w:rsid w:val="1E1D28C5"/>
    <w:rsid w:val="1EA97A9E"/>
    <w:rsid w:val="1EB853CE"/>
    <w:rsid w:val="1EFD1033"/>
    <w:rsid w:val="1F271A4D"/>
    <w:rsid w:val="1F63739D"/>
    <w:rsid w:val="1F7E4C87"/>
    <w:rsid w:val="1FD004F5"/>
    <w:rsid w:val="1FEF4E1F"/>
    <w:rsid w:val="201725C8"/>
    <w:rsid w:val="20347594"/>
    <w:rsid w:val="20432BA3"/>
    <w:rsid w:val="209B6BCD"/>
    <w:rsid w:val="20D10916"/>
    <w:rsid w:val="20D365E1"/>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D87F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B167BB6"/>
    <w:rsid w:val="2B644051"/>
    <w:rsid w:val="2B6448D2"/>
    <w:rsid w:val="2BA54637"/>
    <w:rsid w:val="2BD001FB"/>
    <w:rsid w:val="2BE05F64"/>
    <w:rsid w:val="2C284EE5"/>
    <w:rsid w:val="2C375068"/>
    <w:rsid w:val="2C840380"/>
    <w:rsid w:val="2C862667"/>
    <w:rsid w:val="2CFF5BF9"/>
    <w:rsid w:val="2D1E2F21"/>
    <w:rsid w:val="2D227891"/>
    <w:rsid w:val="2D2E3A18"/>
    <w:rsid w:val="2D3543F5"/>
    <w:rsid w:val="2D9C277F"/>
    <w:rsid w:val="2DFF6B75"/>
    <w:rsid w:val="2E4A44E1"/>
    <w:rsid w:val="2E505623"/>
    <w:rsid w:val="2E9C3D58"/>
    <w:rsid w:val="2EAE3B92"/>
    <w:rsid w:val="2F0B32CB"/>
    <w:rsid w:val="2F3C1719"/>
    <w:rsid w:val="2F566C69"/>
    <w:rsid w:val="2FD35FE0"/>
    <w:rsid w:val="3022643B"/>
    <w:rsid w:val="304F76C5"/>
    <w:rsid w:val="306F2500"/>
    <w:rsid w:val="307F7CD3"/>
    <w:rsid w:val="30901D07"/>
    <w:rsid w:val="309915E1"/>
    <w:rsid w:val="30A71A75"/>
    <w:rsid w:val="30B023A9"/>
    <w:rsid w:val="30E7444B"/>
    <w:rsid w:val="311F283C"/>
    <w:rsid w:val="31466B89"/>
    <w:rsid w:val="31E81F78"/>
    <w:rsid w:val="31F273BA"/>
    <w:rsid w:val="320D1173"/>
    <w:rsid w:val="323679C5"/>
    <w:rsid w:val="328A49BF"/>
    <w:rsid w:val="32A01B75"/>
    <w:rsid w:val="32D61927"/>
    <w:rsid w:val="32E3095D"/>
    <w:rsid w:val="330B32C9"/>
    <w:rsid w:val="337D73C7"/>
    <w:rsid w:val="33BD403F"/>
    <w:rsid w:val="33CB7217"/>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A01D28"/>
    <w:rsid w:val="38A24105"/>
    <w:rsid w:val="38B97799"/>
    <w:rsid w:val="38F82E30"/>
    <w:rsid w:val="39363667"/>
    <w:rsid w:val="39401044"/>
    <w:rsid w:val="39464EC6"/>
    <w:rsid w:val="396042CF"/>
    <w:rsid w:val="39680CF0"/>
    <w:rsid w:val="39AC7EF3"/>
    <w:rsid w:val="3A0C5A97"/>
    <w:rsid w:val="3A3E0663"/>
    <w:rsid w:val="3A5E2C40"/>
    <w:rsid w:val="3AD76784"/>
    <w:rsid w:val="3ADD5763"/>
    <w:rsid w:val="3AFA2E82"/>
    <w:rsid w:val="3B4E4304"/>
    <w:rsid w:val="3B7B7CB3"/>
    <w:rsid w:val="3BEF76A2"/>
    <w:rsid w:val="3C1A31C4"/>
    <w:rsid w:val="3C2D227C"/>
    <w:rsid w:val="3C34720B"/>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156827"/>
    <w:rsid w:val="456C5AAB"/>
    <w:rsid w:val="456D41B9"/>
    <w:rsid w:val="456D6758"/>
    <w:rsid w:val="4588061E"/>
    <w:rsid w:val="458B6335"/>
    <w:rsid w:val="459250C4"/>
    <w:rsid w:val="45A8633B"/>
    <w:rsid w:val="45B504DF"/>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EE6F6A"/>
    <w:rsid w:val="48F408B2"/>
    <w:rsid w:val="4903273F"/>
    <w:rsid w:val="491F6C60"/>
    <w:rsid w:val="49215A77"/>
    <w:rsid w:val="499E628F"/>
    <w:rsid w:val="49D54BC4"/>
    <w:rsid w:val="49DA0962"/>
    <w:rsid w:val="49E669E4"/>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2FD3DF9"/>
    <w:rsid w:val="533313F7"/>
    <w:rsid w:val="537F451C"/>
    <w:rsid w:val="53C9075E"/>
    <w:rsid w:val="544571FC"/>
    <w:rsid w:val="54F15B76"/>
    <w:rsid w:val="54FA4C71"/>
    <w:rsid w:val="54FC424B"/>
    <w:rsid w:val="55046261"/>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AB637B"/>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CB35162"/>
    <w:rsid w:val="5D6018C6"/>
    <w:rsid w:val="5DBB5D65"/>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D7276E"/>
    <w:rsid w:val="62F40193"/>
    <w:rsid w:val="634202AD"/>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886A01"/>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565227"/>
    <w:rsid w:val="6A9839F8"/>
    <w:rsid w:val="6AFF7146"/>
    <w:rsid w:val="6B2D7A85"/>
    <w:rsid w:val="6B33683F"/>
    <w:rsid w:val="6B8E29AA"/>
    <w:rsid w:val="6C264CF2"/>
    <w:rsid w:val="6C301C79"/>
    <w:rsid w:val="6C392B7B"/>
    <w:rsid w:val="6C9F4AA4"/>
    <w:rsid w:val="6CB100E7"/>
    <w:rsid w:val="6CBC11B2"/>
    <w:rsid w:val="6CC03179"/>
    <w:rsid w:val="6CDE737B"/>
    <w:rsid w:val="6D34149A"/>
    <w:rsid w:val="6D4E5DC0"/>
    <w:rsid w:val="6D5C7C79"/>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F82289"/>
    <w:rsid w:val="75043042"/>
    <w:rsid w:val="75115ED5"/>
    <w:rsid w:val="75120066"/>
    <w:rsid w:val="754C038C"/>
    <w:rsid w:val="75541000"/>
    <w:rsid w:val="756155F2"/>
    <w:rsid w:val="756D1A2D"/>
    <w:rsid w:val="757E5B9F"/>
    <w:rsid w:val="762A6956"/>
    <w:rsid w:val="76776AE9"/>
    <w:rsid w:val="767D459E"/>
    <w:rsid w:val="769F3946"/>
    <w:rsid w:val="76B43CF5"/>
    <w:rsid w:val="76CD2DB9"/>
    <w:rsid w:val="76F53C3E"/>
    <w:rsid w:val="771B5705"/>
    <w:rsid w:val="772D680B"/>
    <w:rsid w:val="77660698"/>
    <w:rsid w:val="777953BA"/>
    <w:rsid w:val="779F1DFC"/>
    <w:rsid w:val="782347DB"/>
    <w:rsid w:val="7827017C"/>
    <w:rsid w:val="784D5ECF"/>
    <w:rsid w:val="79002D6F"/>
    <w:rsid w:val="79032394"/>
    <w:rsid w:val="790E2D96"/>
    <w:rsid w:val="792014D6"/>
    <w:rsid w:val="793B2638"/>
    <w:rsid w:val="795953D2"/>
    <w:rsid w:val="79724991"/>
    <w:rsid w:val="798D63C9"/>
    <w:rsid w:val="79940EF9"/>
    <w:rsid w:val="79A65581"/>
    <w:rsid w:val="79B1321F"/>
    <w:rsid w:val="79B87E6E"/>
    <w:rsid w:val="79CB6289"/>
    <w:rsid w:val="79CD24C2"/>
    <w:rsid w:val="79CE6FB8"/>
    <w:rsid w:val="7A296E90"/>
    <w:rsid w:val="7A682025"/>
    <w:rsid w:val="7A70182E"/>
    <w:rsid w:val="7A832939"/>
    <w:rsid w:val="7ADF6AAC"/>
    <w:rsid w:val="7B3F7B7E"/>
    <w:rsid w:val="7BA37EA7"/>
    <w:rsid w:val="7BA7312C"/>
    <w:rsid w:val="7BA9606D"/>
    <w:rsid w:val="7BC368A3"/>
    <w:rsid w:val="7BEA0A61"/>
    <w:rsid w:val="7BF36264"/>
    <w:rsid w:val="7C09226E"/>
    <w:rsid w:val="7C150BA0"/>
    <w:rsid w:val="7C217284"/>
    <w:rsid w:val="7C341A64"/>
    <w:rsid w:val="7C4B4301"/>
    <w:rsid w:val="7C4E494B"/>
    <w:rsid w:val="7C6929D9"/>
    <w:rsid w:val="7CBB77F6"/>
    <w:rsid w:val="7CE406AC"/>
    <w:rsid w:val="7CE83E99"/>
    <w:rsid w:val="7D044408"/>
    <w:rsid w:val="7D3B4375"/>
    <w:rsid w:val="7D554915"/>
    <w:rsid w:val="7D8F021D"/>
    <w:rsid w:val="7DA0004D"/>
    <w:rsid w:val="7DBD2C9F"/>
    <w:rsid w:val="7DFD60A2"/>
    <w:rsid w:val="7E14458D"/>
    <w:rsid w:val="7E192908"/>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jc w:val="center"/>
      <w:outlineLvl w:val="0"/>
    </w:pPr>
    <w:rPr>
      <w:rFonts w:ascii="黑体" w:eastAsia="黑体"/>
      <w:sz w:val="52"/>
    </w:rPr>
  </w:style>
  <w:style w:type="paragraph" w:styleId="4">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5">
    <w:name w:val="heading 3"/>
    <w:basedOn w:val="1"/>
    <w:next w:val="1"/>
    <w:link w:val="80"/>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7">
    <w:name w:val="Normal Indent"/>
    <w:basedOn w:val="1"/>
    <w:next w:val="1"/>
    <w:qFormat/>
    <w:uiPriority w:val="0"/>
    <w:pPr>
      <w:autoSpaceDE w:val="0"/>
      <w:autoSpaceDN w:val="0"/>
      <w:adjustRightInd w:val="0"/>
      <w:ind w:firstLine="420"/>
    </w:pPr>
    <w:rPr>
      <w:rFonts w:ascii="宋体"/>
      <w:sz w:val="24"/>
    </w:rPr>
  </w:style>
  <w:style w:type="paragraph" w:styleId="8">
    <w:name w:val="Document Map"/>
    <w:basedOn w:val="1"/>
    <w:next w:val="1"/>
    <w:link w:val="60"/>
    <w:qFormat/>
    <w:uiPriority w:val="99"/>
    <w:rPr>
      <w:rFonts w:ascii="宋体"/>
      <w:sz w:val="18"/>
      <w:szCs w:val="18"/>
    </w:rPr>
  </w:style>
  <w:style w:type="paragraph" w:styleId="9">
    <w:name w:val="annotation text"/>
    <w:basedOn w:val="1"/>
    <w:link w:val="53"/>
    <w:qFormat/>
    <w:uiPriority w:val="99"/>
    <w:pPr>
      <w:jc w:val="left"/>
    </w:pPr>
  </w:style>
  <w:style w:type="paragraph" w:styleId="10">
    <w:name w:val="Body Text Indent"/>
    <w:basedOn w:val="1"/>
    <w:link w:val="76"/>
    <w:qFormat/>
    <w:uiPriority w:val="99"/>
    <w:pPr>
      <w:spacing w:line="200" w:lineRule="exact"/>
      <w:ind w:firstLine="301"/>
    </w:pPr>
    <w:rPr>
      <w:rFonts w:ascii="宋体" w:hAnsi="Courier New"/>
      <w:spacing w:val="-4"/>
      <w:sz w:val="18"/>
      <w:szCs w:val="20"/>
    </w:rPr>
  </w:style>
  <w:style w:type="paragraph" w:styleId="11">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Plain Text"/>
    <w:basedOn w:val="1"/>
    <w:link w:val="58"/>
    <w:qFormat/>
    <w:uiPriority w:val="0"/>
    <w:rPr>
      <w:rFonts w:ascii="宋体" w:hAnsi="Courier New" w:cs="Courier New"/>
      <w:szCs w:val="21"/>
    </w:rPr>
  </w:style>
  <w:style w:type="paragraph" w:styleId="13">
    <w:name w:val="Date"/>
    <w:basedOn w:val="1"/>
    <w:next w:val="1"/>
    <w:qFormat/>
    <w:uiPriority w:val="0"/>
    <w:rPr>
      <w:rFonts w:ascii="宋体" w:hAnsi="宋体"/>
      <w:sz w:val="24"/>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78"/>
    <w:semiHidden/>
    <w:qFormat/>
    <w:uiPriority w:val="99"/>
    <w:rPr>
      <w:sz w:val="18"/>
      <w:szCs w:val="18"/>
    </w:rPr>
  </w:style>
  <w:style w:type="paragraph" w:styleId="16">
    <w:name w:val="footer"/>
    <w:basedOn w:val="1"/>
    <w:link w:val="77"/>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jc w:val="center"/>
    </w:pPr>
    <w:rPr>
      <w:sz w:val="24"/>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0"/>
    <w:pPr>
      <w:ind w:left="126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9"/>
    <w:next w:val="9"/>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字符"/>
    <w:link w:val="14"/>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2"/>
    <w:link w:val="50"/>
    <w:autoRedefine/>
    <w:qFormat/>
    <w:uiPriority w:val="0"/>
    <w:pPr>
      <w:jc w:val="center"/>
    </w:pPr>
    <w:rPr>
      <w:rFonts w:cs="Times New Roman"/>
      <w:szCs w:val="20"/>
    </w:rPr>
  </w:style>
  <w:style w:type="character" w:customStyle="1" w:styleId="52">
    <w:name w:val="页眉 字符"/>
    <w:basedOn w:val="27"/>
    <w:link w:val="18"/>
    <w:autoRedefine/>
    <w:qFormat/>
    <w:uiPriority w:val="99"/>
    <w:rPr>
      <w:kern w:val="2"/>
      <w:sz w:val="18"/>
      <w:szCs w:val="18"/>
    </w:rPr>
  </w:style>
  <w:style w:type="character" w:customStyle="1" w:styleId="53">
    <w:name w:val="批注文字 字符"/>
    <w:basedOn w:val="27"/>
    <w:link w:val="9"/>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字符"/>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字符"/>
    <w:link w:val="12"/>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字符"/>
    <w:basedOn w:val="27"/>
    <w:link w:val="8"/>
    <w:autoRedefine/>
    <w:qFormat/>
    <w:uiPriority w:val="99"/>
    <w:rPr>
      <w:rFonts w:ascii="宋体"/>
      <w:kern w:val="2"/>
      <w:sz w:val="18"/>
      <w:szCs w:val="18"/>
    </w:rPr>
  </w:style>
  <w:style w:type="paragraph" w:customStyle="1" w:styleId="61">
    <w:name w:val="纯文本1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20"/>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字符"/>
    <w:basedOn w:val="27"/>
    <w:link w:val="4"/>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字符"/>
    <w:link w:val="2"/>
    <w:autoRedefine/>
    <w:qFormat/>
    <w:uiPriority w:val="0"/>
    <w:rPr>
      <w:kern w:val="2"/>
      <w:sz w:val="21"/>
      <w:szCs w:val="24"/>
    </w:rPr>
  </w:style>
  <w:style w:type="character" w:customStyle="1" w:styleId="76">
    <w:name w:val="正文文本缩进 字符"/>
    <w:basedOn w:val="27"/>
    <w:link w:val="10"/>
    <w:autoRedefine/>
    <w:qFormat/>
    <w:uiPriority w:val="99"/>
    <w:rPr>
      <w:rFonts w:ascii="宋体" w:hAnsi="Courier New"/>
      <w:spacing w:val="-4"/>
      <w:kern w:val="2"/>
      <w:sz w:val="18"/>
    </w:rPr>
  </w:style>
  <w:style w:type="character" w:customStyle="1" w:styleId="77">
    <w:name w:val="页脚 字符"/>
    <w:basedOn w:val="27"/>
    <w:link w:val="16"/>
    <w:autoRedefine/>
    <w:qFormat/>
    <w:uiPriority w:val="99"/>
    <w:rPr>
      <w:kern w:val="2"/>
      <w:sz w:val="18"/>
      <w:szCs w:val="18"/>
    </w:rPr>
  </w:style>
  <w:style w:type="character" w:customStyle="1" w:styleId="78">
    <w:name w:val="批注框文本 字符"/>
    <w:basedOn w:val="27"/>
    <w:link w:val="15"/>
    <w:autoRedefine/>
    <w:semiHidden/>
    <w:qFormat/>
    <w:uiPriority w:val="99"/>
    <w:rPr>
      <w:kern w:val="2"/>
      <w:sz w:val="18"/>
      <w:szCs w:val="18"/>
    </w:rPr>
  </w:style>
  <w:style w:type="character" w:customStyle="1" w:styleId="79">
    <w:name w:val="标题 1 字符"/>
    <w:basedOn w:val="27"/>
    <w:link w:val="3"/>
    <w:autoRedefine/>
    <w:qFormat/>
    <w:uiPriority w:val="9"/>
    <w:rPr>
      <w:rFonts w:ascii="黑体" w:eastAsia="黑体"/>
      <w:kern w:val="2"/>
      <w:sz w:val="52"/>
      <w:szCs w:val="24"/>
    </w:rPr>
  </w:style>
  <w:style w:type="character" w:customStyle="1" w:styleId="80">
    <w:name w:val="标题 3 字符"/>
    <w:basedOn w:val="27"/>
    <w:link w:val="5"/>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649A-CBBF-417C-9FC4-F8E334020C1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39</Pages>
  <Words>7336</Words>
  <Characters>7972</Characters>
  <Lines>190</Lines>
  <Paragraphs>53</Paragraphs>
  <TotalTime>0</TotalTime>
  <ScaleCrop>false</ScaleCrop>
  <LinksUpToDate>false</LinksUpToDate>
  <CharactersWithSpaces>8147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2026-01-29T10:49:00Z</dcterms:created>
  <dc:creator>雨林木风</dc:creator>
  <cp:lastModifiedBy>wjenne</cp:lastModifiedBy>
  <cp:lastPrinted>2016-04-07T05:43:00Z</cp:lastPrinted>
  <dcterms:modified xsi:type="dcterms:W3CDTF">2026-02-04T07:45:24Z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B89FD3C7D77F42438125CC2A6954B389_13</vt:lpwstr>
  </property>
  <property fmtid="{D5CDD505-2E9C-101B-9397-08002B2CF9AE}" pid="4" name="KSOTemplateDocerSaveRecord">
    <vt:lpwstr>eyJoZGlkIjoiMGUxYzA4YmY4ZWEyMzgzYjY2MzYwZGM2YTQxYjg1NjIiLCJ1c2VySWQiOiI1NDg0MjQ1NDQifQ==</vt:lpwstr>
  </property>
</Properties>
</file>